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9E" w:rsidRDefault="008A389E" w:rsidP="008A389E">
      <w:pPr>
        <w:pBdr>
          <w:bottom w:val="double" w:sz="6" w:space="1" w:color="auto"/>
        </w:pBdr>
        <w:tabs>
          <w:tab w:val="center" w:pos="4680"/>
        </w:tabs>
        <w:suppressAutoHyphens/>
        <w:rPr>
          <w:rFonts w:ascii="Trebuchet MS" w:hAnsi="Trebuchet MS" w:cs="Tahoma"/>
          <w:b/>
          <w:spacing w:val="-3"/>
        </w:rPr>
      </w:pPr>
    </w:p>
    <w:p w:rsidR="008A389E" w:rsidRDefault="008A389E" w:rsidP="008A389E">
      <w:pPr>
        <w:pBdr>
          <w:bottom w:val="double" w:sz="4" w:space="1" w:color="auto"/>
        </w:pBdr>
        <w:rPr>
          <w:rFonts w:ascii="Trebuchet MS" w:hAnsi="Trebuchet MS" w:cs="Tahoma"/>
        </w:rPr>
      </w:pPr>
    </w:p>
    <w:p w:rsidR="008A389E" w:rsidRDefault="008A389E" w:rsidP="008A389E">
      <w:pPr>
        <w:pBdr>
          <w:bottom w:val="double" w:sz="4" w:space="1" w:color="auto"/>
        </w:pBdr>
        <w:jc w:val="center"/>
        <w:rPr>
          <w:rFonts w:ascii="Trebuchet MS" w:hAnsi="Trebuchet MS" w:cs="Tahoma"/>
          <w:b/>
          <w:sz w:val="32"/>
          <w:szCs w:val="32"/>
        </w:rPr>
      </w:pPr>
      <w:bookmarkStart w:id="0" w:name="_GoBack"/>
      <w:bookmarkEnd w:id="0"/>
      <w:r>
        <w:rPr>
          <w:rFonts w:ascii="Trebuchet MS" w:hAnsi="Trebuchet MS" w:cs="Tahoma"/>
          <w:b/>
          <w:sz w:val="32"/>
          <w:szCs w:val="32"/>
        </w:rPr>
        <w:t>September 2014 PUBLIC POLICY UPDATE</w:t>
      </w:r>
    </w:p>
    <w:p w:rsidR="008A389E" w:rsidRDefault="008A389E" w:rsidP="008A389E">
      <w:pPr>
        <w:pBdr>
          <w:bottom w:val="double" w:sz="4" w:space="1" w:color="auto"/>
        </w:pBdr>
        <w:jc w:val="center"/>
        <w:rPr>
          <w:rFonts w:ascii="Trebuchet MS" w:hAnsi="Trebuchet MS" w:cs="Tahoma"/>
          <w:b/>
          <w:sz w:val="32"/>
          <w:szCs w:val="32"/>
        </w:rPr>
      </w:pPr>
      <w:r>
        <w:rPr>
          <w:rFonts w:ascii="Trebuchet MS" w:hAnsi="Trebuchet MS" w:cs="Tahoma"/>
          <w:b/>
          <w:sz w:val="32"/>
          <w:szCs w:val="32"/>
        </w:rPr>
        <w:t>By: Brian Lindberg</w:t>
      </w:r>
    </w:p>
    <w:p w:rsidR="008A389E" w:rsidRDefault="008A389E" w:rsidP="008A389E">
      <w:pPr>
        <w:pBdr>
          <w:bottom w:val="double" w:sz="4" w:space="1" w:color="auto"/>
        </w:pBdr>
        <w:jc w:val="center"/>
        <w:rPr>
          <w:rFonts w:ascii="Trebuchet MS" w:hAnsi="Trebuchet MS" w:cs="Tahoma"/>
          <w:b/>
        </w:rPr>
      </w:pPr>
    </w:p>
    <w:p w:rsidR="008A389E" w:rsidRDefault="008A389E" w:rsidP="008A389E">
      <w:pPr>
        <w:rPr>
          <w:rFonts w:ascii="Trebuchet MS" w:hAnsi="Trebuchet MS" w:cs="Tahoma"/>
          <w:b/>
        </w:rPr>
      </w:pPr>
    </w:p>
    <w:p w:rsidR="008A389E" w:rsidRDefault="008A389E" w:rsidP="008A389E">
      <w:pPr>
        <w:rPr>
          <w:rFonts w:ascii="Trebuchet MS" w:hAnsi="Trebuchet MS" w:cs="Tahoma"/>
          <w:b/>
        </w:rPr>
      </w:pPr>
    </w:p>
    <w:p w:rsidR="008A389E" w:rsidRPr="005D15C4" w:rsidRDefault="008A389E" w:rsidP="008A389E">
      <w:pPr>
        <w:rPr>
          <w:rFonts w:ascii="Trebuchet MS" w:hAnsi="Trebuchet MS"/>
          <w:b/>
          <w:u w:val="single"/>
        </w:rPr>
      </w:pPr>
      <w:r w:rsidRPr="005D15C4">
        <w:rPr>
          <w:rFonts w:ascii="Trebuchet MS" w:hAnsi="Trebuchet MS"/>
          <w:b/>
          <w:u w:val="single"/>
        </w:rPr>
        <w:t>Big Picture</w:t>
      </w:r>
    </w:p>
    <w:p w:rsidR="002C1F5B" w:rsidRPr="005D15C4" w:rsidRDefault="002C1F5B" w:rsidP="008A389E">
      <w:pPr>
        <w:rPr>
          <w:rFonts w:ascii="Trebuchet MS" w:hAnsi="Trebuchet MS"/>
          <w:b/>
          <w:u w:val="single"/>
        </w:rPr>
      </w:pPr>
    </w:p>
    <w:p w:rsidR="008A389E" w:rsidRPr="005D15C4" w:rsidRDefault="008A389E" w:rsidP="008A389E">
      <w:pPr>
        <w:rPr>
          <w:rFonts w:ascii="Trebuchet MS" w:hAnsi="Trebuchet MS"/>
        </w:rPr>
      </w:pPr>
      <w:r w:rsidRPr="005D15C4">
        <w:rPr>
          <w:rFonts w:ascii="Trebuchet MS" w:hAnsi="Trebuchet MS"/>
        </w:rPr>
        <w:t>Congress returned to DC from its five-week recess on September 8</w:t>
      </w:r>
      <w:r w:rsidRPr="005D15C4">
        <w:rPr>
          <w:rFonts w:ascii="Trebuchet MS" w:hAnsi="Trebuchet MS"/>
          <w:vertAlign w:val="superscript"/>
        </w:rPr>
        <w:t>th</w:t>
      </w:r>
      <w:r w:rsidRPr="005D15C4">
        <w:rPr>
          <w:rFonts w:ascii="Trebuchet MS" w:hAnsi="Trebuchet MS"/>
        </w:rPr>
        <w:t xml:space="preserve"> for only a short period.  The House </w:t>
      </w:r>
      <w:r w:rsidR="00803E71" w:rsidRPr="005D15C4">
        <w:rPr>
          <w:rFonts w:ascii="Trebuchet MS" w:hAnsi="Trebuchet MS"/>
        </w:rPr>
        <w:t>and Senate completed their work on the must-pass Continuing Resolution</w:t>
      </w:r>
      <w:r w:rsidR="005E5F93">
        <w:rPr>
          <w:rFonts w:ascii="Trebuchet MS" w:hAnsi="Trebuchet MS"/>
        </w:rPr>
        <w:t xml:space="preserve"> (CR)</w:t>
      </w:r>
      <w:r w:rsidR="00803E71" w:rsidRPr="005D15C4">
        <w:rPr>
          <w:rFonts w:ascii="Trebuchet MS" w:hAnsi="Trebuchet MS"/>
        </w:rPr>
        <w:t xml:space="preserve"> to keep government operating beyond September 30</w:t>
      </w:r>
      <w:r w:rsidR="00803E71" w:rsidRPr="005D15C4">
        <w:rPr>
          <w:rFonts w:ascii="Trebuchet MS" w:hAnsi="Trebuchet MS"/>
          <w:vertAlign w:val="superscript"/>
        </w:rPr>
        <w:t>th</w:t>
      </w:r>
      <w:r w:rsidR="0001571B">
        <w:rPr>
          <w:rFonts w:ascii="Trebuchet MS" w:hAnsi="Trebuchet MS"/>
          <w:vertAlign w:val="superscript"/>
        </w:rPr>
        <w:t xml:space="preserve">, </w:t>
      </w:r>
      <w:r w:rsidR="0001571B" w:rsidRPr="005D15C4">
        <w:rPr>
          <w:rFonts w:ascii="Trebuchet MS" w:hAnsi="Trebuchet MS"/>
        </w:rPr>
        <w:t>and</w:t>
      </w:r>
      <w:r w:rsidR="00803E71" w:rsidRPr="005D15C4">
        <w:rPr>
          <w:rFonts w:ascii="Trebuchet MS" w:hAnsi="Trebuchet MS"/>
        </w:rPr>
        <w:t xml:space="preserve"> </w:t>
      </w:r>
      <w:r w:rsidR="005E5F93">
        <w:rPr>
          <w:rFonts w:ascii="Trebuchet MS" w:hAnsi="Trebuchet MS"/>
        </w:rPr>
        <w:t xml:space="preserve">then they </w:t>
      </w:r>
      <w:r w:rsidR="00803E71" w:rsidRPr="005D15C4">
        <w:rPr>
          <w:rFonts w:ascii="Trebuchet MS" w:hAnsi="Trebuchet MS"/>
        </w:rPr>
        <w:t xml:space="preserve">headed home on September 19 to campaign.  They plan to return to DC </w:t>
      </w:r>
      <w:r w:rsidR="00615A7A" w:rsidRPr="005D15C4">
        <w:rPr>
          <w:rFonts w:ascii="Trebuchet MS" w:hAnsi="Trebuchet MS"/>
        </w:rPr>
        <w:t xml:space="preserve">again </w:t>
      </w:r>
      <w:r w:rsidR="00803E71" w:rsidRPr="005D15C4">
        <w:rPr>
          <w:rFonts w:ascii="Trebuchet MS" w:hAnsi="Trebuchet MS"/>
        </w:rPr>
        <w:t>on November 12</w:t>
      </w:r>
      <w:r w:rsidR="00803E71" w:rsidRPr="005D15C4">
        <w:rPr>
          <w:rFonts w:ascii="Trebuchet MS" w:hAnsi="Trebuchet MS"/>
          <w:vertAlign w:val="superscript"/>
        </w:rPr>
        <w:t>th</w:t>
      </w:r>
      <w:r w:rsidR="00803E71" w:rsidRPr="005D15C4">
        <w:rPr>
          <w:rFonts w:ascii="Trebuchet MS" w:hAnsi="Trebuchet MS"/>
        </w:rPr>
        <w:t>.</w:t>
      </w:r>
      <w:r w:rsidRPr="005D15C4">
        <w:rPr>
          <w:rFonts w:ascii="Trebuchet MS" w:hAnsi="Trebuchet MS"/>
        </w:rPr>
        <w:t xml:space="preserve">  </w:t>
      </w:r>
    </w:p>
    <w:p w:rsidR="000573AF" w:rsidRPr="005D15C4" w:rsidRDefault="000573AF" w:rsidP="000573AF">
      <w:pPr>
        <w:rPr>
          <w:rFonts w:ascii="Trebuchet MS" w:hAnsi="Trebuchet MS"/>
        </w:rPr>
      </w:pPr>
    </w:p>
    <w:p w:rsidR="000573AF" w:rsidRPr="005D15C4" w:rsidRDefault="00803E71" w:rsidP="00803E71">
      <w:pPr>
        <w:rPr>
          <w:rFonts w:ascii="Trebuchet MS" w:hAnsi="Trebuchet MS" w:cs="Arial"/>
          <w:color w:val="000000"/>
        </w:rPr>
      </w:pPr>
      <w:r w:rsidRPr="005D15C4">
        <w:rPr>
          <w:rFonts w:ascii="Trebuchet MS" w:hAnsi="Trebuchet MS"/>
        </w:rPr>
        <w:t>The</w:t>
      </w:r>
      <w:r w:rsidR="005E5F93">
        <w:rPr>
          <w:rFonts w:ascii="Trebuchet MS" w:hAnsi="Trebuchet MS"/>
        </w:rPr>
        <w:t xml:space="preserve"> Congress</w:t>
      </w:r>
      <w:r w:rsidRPr="005D15C4">
        <w:rPr>
          <w:rFonts w:ascii="Trebuchet MS" w:hAnsi="Trebuchet MS"/>
        </w:rPr>
        <w:t xml:space="preserve"> spent some of that short time</w:t>
      </w:r>
      <w:r w:rsidR="005E5F93">
        <w:rPr>
          <w:rFonts w:ascii="Trebuchet MS" w:hAnsi="Trebuchet MS"/>
        </w:rPr>
        <w:t xml:space="preserve"> in session</w:t>
      </w:r>
      <w:r w:rsidRPr="005D15C4">
        <w:rPr>
          <w:rFonts w:ascii="Trebuchet MS" w:hAnsi="Trebuchet MS"/>
        </w:rPr>
        <w:t xml:space="preserve"> taking </w:t>
      </w:r>
      <w:r w:rsidR="00615A7A" w:rsidRPr="005D15C4">
        <w:rPr>
          <w:rFonts w:ascii="Trebuchet MS" w:hAnsi="Trebuchet MS"/>
        </w:rPr>
        <w:t>“</w:t>
      </w:r>
      <w:r w:rsidRPr="005D15C4">
        <w:rPr>
          <w:rFonts w:ascii="Trebuchet MS" w:hAnsi="Trebuchet MS"/>
        </w:rPr>
        <w:t>messaging votes</w:t>
      </w:r>
      <w:r w:rsidR="00615A7A" w:rsidRPr="005D15C4">
        <w:rPr>
          <w:rFonts w:ascii="Trebuchet MS" w:hAnsi="Trebuchet MS"/>
        </w:rPr>
        <w:t>”</w:t>
      </w:r>
      <w:r w:rsidRPr="005D15C4">
        <w:rPr>
          <w:rFonts w:ascii="Trebuchet MS" w:hAnsi="Trebuchet MS"/>
        </w:rPr>
        <w:t xml:space="preserve"> on </w:t>
      </w:r>
      <w:r w:rsidR="00615A7A" w:rsidRPr="005D15C4">
        <w:rPr>
          <w:rFonts w:ascii="Trebuchet MS" w:hAnsi="Trebuchet MS"/>
        </w:rPr>
        <w:t xml:space="preserve">bills </w:t>
      </w:r>
      <w:r w:rsidRPr="005D15C4">
        <w:rPr>
          <w:rFonts w:ascii="Trebuchet MS" w:hAnsi="Trebuchet MS"/>
        </w:rPr>
        <w:t>that had no chance</w:t>
      </w:r>
      <w:r w:rsidR="00615A7A" w:rsidRPr="005D15C4">
        <w:rPr>
          <w:rFonts w:ascii="Trebuchet MS" w:hAnsi="Trebuchet MS"/>
        </w:rPr>
        <w:t xml:space="preserve"> of</w:t>
      </w:r>
      <w:r w:rsidRPr="005D15C4">
        <w:rPr>
          <w:rFonts w:ascii="Trebuchet MS" w:hAnsi="Trebuchet MS"/>
        </w:rPr>
        <w:t xml:space="preserve"> becoming law</w:t>
      </w:r>
      <w:r w:rsidR="00615A7A" w:rsidRPr="005D15C4">
        <w:rPr>
          <w:rFonts w:ascii="Trebuchet MS" w:hAnsi="Trebuchet MS"/>
        </w:rPr>
        <w:t xml:space="preserve"> before the elections</w:t>
      </w:r>
      <w:r w:rsidRPr="005D15C4">
        <w:rPr>
          <w:rFonts w:ascii="Trebuchet MS" w:hAnsi="Trebuchet MS"/>
        </w:rPr>
        <w:t xml:space="preserve">, but </w:t>
      </w:r>
      <w:r w:rsidR="00615A7A" w:rsidRPr="005D15C4">
        <w:rPr>
          <w:rFonts w:ascii="Trebuchet MS" w:hAnsi="Trebuchet MS"/>
        </w:rPr>
        <w:t>might</w:t>
      </w:r>
      <w:r w:rsidRPr="005D15C4">
        <w:rPr>
          <w:rFonts w:ascii="Trebuchet MS" w:hAnsi="Trebuchet MS"/>
        </w:rPr>
        <w:t xml:space="preserve"> put the other party on the defensive.  For example, the Senate</w:t>
      </w:r>
      <w:r w:rsidR="00615A7A" w:rsidRPr="005D15C4">
        <w:rPr>
          <w:rFonts w:ascii="Trebuchet MS" w:hAnsi="Trebuchet MS"/>
        </w:rPr>
        <w:t xml:space="preserve"> Democrats sche</w:t>
      </w:r>
      <w:r w:rsidR="005E5F93">
        <w:rPr>
          <w:rFonts w:ascii="Trebuchet MS" w:hAnsi="Trebuchet MS"/>
        </w:rPr>
        <w:t>d</w:t>
      </w:r>
      <w:r w:rsidR="00615A7A" w:rsidRPr="005D15C4">
        <w:rPr>
          <w:rFonts w:ascii="Trebuchet MS" w:hAnsi="Trebuchet MS"/>
        </w:rPr>
        <w:t>uled</w:t>
      </w:r>
      <w:r w:rsidRPr="005D15C4">
        <w:rPr>
          <w:rFonts w:ascii="Trebuchet MS" w:hAnsi="Trebuchet MS"/>
        </w:rPr>
        <w:t xml:space="preserve"> votes on a bill to ensure that men and women receive equal pay for </w:t>
      </w:r>
      <w:proofErr w:type="gramStart"/>
      <w:r w:rsidRPr="005D15C4">
        <w:rPr>
          <w:rFonts w:ascii="Trebuchet MS" w:hAnsi="Trebuchet MS"/>
        </w:rPr>
        <w:t>equal</w:t>
      </w:r>
      <w:proofErr w:type="gramEnd"/>
      <w:r w:rsidRPr="005D15C4">
        <w:rPr>
          <w:rFonts w:ascii="Trebuchet MS" w:hAnsi="Trebuchet MS"/>
        </w:rPr>
        <w:t xml:space="preserve"> work and legislation to enable Congress to limit campaign contributions and expenditures.  </w:t>
      </w:r>
      <w:r w:rsidR="000573AF" w:rsidRPr="005D15C4">
        <w:rPr>
          <w:rFonts w:ascii="Trebuchet MS" w:hAnsi="Trebuchet MS" w:cs="Arial"/>
          <w:color w:val="000000"/>
        </w:rPr>
        <w:t xml:space="preserve">The House </w:t>
      </w:r>
      <w:r w:rsidR="00615A7A" w:rsidRPr="005D15C4">
        <w:rPr>
          <w:rFonts w:ascii="Trebuchet MS" w:hAnsi="Trebuchet MS" w:cs="Arial"/>
          <w:color w:val="000000"/>
        </w:rPr>
        <w:t xml:space="preserve">Republicans </w:t>
      </w:r>
      <w:r w:rsidRPr="005D15C4">
        <w:rPr>
          <w:rFonts w:ascii="Trebuchet MS" w:hAnsi="Trebuchet MS" w:cs="Arial"/>
          <w:color w:val="000000"/>
        </w:rPr>
        <w:t xml:space="preserve">continued </w:t>
      </w:r>
      <w:r w:rsidR="00615A7A" w:rsidRPr="005D15C4">
        <w:rPr>
          <w:rFonts w:ascii="Trebuchet MS" w:hAnsi="Trebuchet MS" w:cs="Arial"/>
          <w:color w:val="000000"/>
        </w:rPr>
        <w:t>their</w:t>
      </w:r>
      <w:r w:rsidRPr="005D15C4">
        <w:rPr>
          <w:rFonts w:ascii="Trebuchet MS" w:hAnsi="Trebuchet MS" w:cs="Arial"/>
          <w:color w:val="000000"/>
        </w:rPr>
        <w:t xml:space="preserve"> </w:t>
      </w:r>
      <w:r w:rsidR="00DB15BA" w:rsidRPr="005D15C4">
        <w:rPr>
          <w:rFonts w:ascii="Trebuchet MS" w:hAnsi="Trebuchet MS" w:cs="Arial"/>
          <w:color w:val="000000"/>
        </w:rPr>
        <w:t>work to undo</w:t>
      </w:r>
      <w:r w:rsidRPr="005D15C4">
        <w:rPr>
          <w:rFonts w:ascii="Trebuchet MS" w:hAnsi="Trebuchet MS" w:cs="Arial"/>
          <w:color w:val="000000"/>
        </w:rPr>
        <w:t xml:space="preserve"> the Affordable Care Act (ACA) by</w:t>
      </w:r>
      <w:r w:rsidR="00DB15BA" w:rsidRPr="005D15C4">
        <w:rPr>
          <w:rFonts w:ascii="Trebuchet MS" w:hAnsi="Trebuchet MS" w:cs="Arial"/>
          <w:color w:val="000000"/>
        </w:rPr>
        <w:t xml:space="preserve"> passing a bill that </w:t>
      </w:r>
      <w:r w:rsidR="000573AF" w:rsidRPr="005D15C4">
        <w:rPr>
          <w:rFonts w:ascii="Trebuchet MS" w:hAnsi="Trebuchet MS" w:cs="Arial"/>
          <w:color w:val="000000"/>
        </w:rPr>
        <w:t>would allow health insurance companies to continue to offer for sale through 2018 policies in the group market that were in effect in 2013</w:t>
      </w:r>
      <w:r w:rsidR="00615A7A" w:rsidRPr="005D15C4">
        <w:rPr>
          <w:rFonts w:ascii="Trebuchet MS" w:hAnsi="Trebuchet MS" w:cs="Arial"/>
          <w:color w:val="000000"/>
        </w:rPr>
        <w:t>, but do not meet ACA standards</w:t>
      </w:r>
      <w:r w:rsidR="000573AF" w:rsidRPr="005D15C4">
        <w:rPr>
          <w:rFonts w:ascii="Trebuchet MS" w:hAnsi="Trebuchet MS" w:cs="Arial"/>
          <w:color w:val="000000"/>
        </w:rPr>
        <w:t>.</w:t>
      </w:r>
    </w:p>
    <w:p w:rsidR="008A389E" w:rsidRPr="005D15C4" w:rsidRDefault="008A389E" w:rsidP="008A389E">
      <w:pPr>
        <w:rPr>
          <w:rFonts w:ascii="Trebuchet MS" w:hAnsi="Trebuchet MS"/>
        </w:rPr>
      </w:pPr>
    </w:p>
    <w:p w:rsidR="00D01AF8" w:rsidRPr="005D15C4" w:rsidRDefault="00DB15BA" w:rsidP="008A389E">
      <w:pPr>
        <w:rPr>
          <w:rFonts w:ascii="Trebuchet MS" w:hAnsi="Trebuchet MS"/>
        </w:rPr>
      </w:pPr>
      <w:r w:rsidRPr="005D15C4">
        <w:rPr>
          <w:rFonts w:ascii="Trebuchet MS" w:hAnsi="Trebuchet MS"/>
        </w:rPr>
        <w:t xml:space="preserve">If </w:t>
      </w:r>
      <w:r w:rsidR="00D05415" w:rsidRPr="005D15C4">
        <w:rPr>
          <w:rFonts w:ascii="Trebuchet MS" w:hAnsi="Trebuchet MS"/>
        </w:rPr>
        <w:t>one</w:t>
      </w:r>
      <w:r w:rsidRPr="005D15C4">
        <w:rPr>
          <w:rFonts w:ascii="Trebuchet MS" w:hAnsi="Trebuchet MS"/>
        </w:rPr>
        <w:t xml:space="preserve"> had thoughts that the lame duck session planned for after the elections </w:t>
      </w:r>
      <w:r w:rsidR="00615A7A" w:rsidRPr="005D15C4">
        <w:rPr>
          <w:rFonts w:ascii="Trebuchet MS" w:hAnsi="Trebuchet MS"/>
        </w:rPr>
        <w:t>is</w:t>
      </w:r>
      <w:r w:rsidRPr="005D15C4">
        <w:rPr>
          <w:rFonts w:ascii="Trebuchet MS" w:hAnsi="Trebuchet MS"/>
        </w:rPr>
        <w:t xml:space="preserve"> going to make up for the least productive Congress in six decades</w:t>
      </w:r>
      <w:r w:rsidR="00D05415" w:rsidRPr="005D15C4">
        <w:rPr>
          <w:rFonts w:ascii="Trebuchet MS" w:hAnsi="Trebuchet MS"/>
        </w:rPr>
        <w:t xml:space="preserve"> (only 163 bills enacted), disappointment may be just around the corner.  </w:t>
      </w:r>
      <w:r w:rsidR="008A389E" w:rsidRPr="005D15C4">
        <w:rPr>
          <w:rFonts w:ascii="Trebuchet MS" w:hAnsi="Trebuchet MS"/>
        </w:rPr>
        <w:t>Pundits are already calling the session after the elections the “lamest lame-duck.”</w:t>
      </w:r>
      <w:r w:rsidR="00D05415" w:rsidRPr="005D15C4">
        <w:rPr>
          <w:rFonts w:ascii="Trebuchet MS" w:hAnsi="Trebuchet MS"/>
        </w:rPr>
        <w:t xml:space="preserve">  There are a few bills that </w:t>
      </w:r>
      <w:r w:rsidR="00F15FF6" w:rsidRPr="005D15C4">
        <w:rPr>
          <w:rFonts w:ascii="Trebuchet MS" w:hAnsi="Trebuchet MS"/>
        </w:rPr>
        <w:t>need to or may move in November and December including the</w:t>
      </w:r>
      <w:r w:rsidR="00D05415" w:rsidRPr="005D15C4">
        <w:rPr>
          <w:rFonts w:ascii="Trebuchet MS" w:hAnsi="Trebuchet MS"/>
        </w:rPr>
        <w:t xml:space="preserve"> </w:t>
      </w:r>
      <w:r w:rsidR="00F15FF6" w:rsidRPr="005D15C4">
        <w:rPr>
          <w:rFonts w:ascii="Trebuchet MS" w:hAnsi="Trebuchet MS"/>
        </w:rPr>
        <w:t xml:space="preserve">longer term appropriations bill (CR), the </w:t>
      </w:r>
      <w:r w:rsidR="00D05415" w:rsidRPr="005D15C4">
        <w:rPr>
          <w:rFonts w:ascii="Trebuchet MS" w:hAnsi="Trebuchet MS"/>
        </w:rPr>
        <w:t>National Defense Authorization Act,</w:t>
      </w:r>
      <w:r w:rsidR="00F15FF6" w:rsidRPr="005D15C4">
        <w:rPr>
          <w:rFonts w:ascii="Trebuchet MS" w:hAnsi="Trebuchet MS"/>
        </w:rPr>
        <w:t xml:space="preserve"> the Marketplace Fairness Act, a tax “extenders package</w:t>
      </w:r>
      <w:r w:rsidR="004C1D17" w:rsidRPr="005D15C4">
        <w:rPr>
          <w:rFonts w:ascii="Trebuchet MS" w:hAnsi="Trebuchet MS"/>
        </w:rPr>
        <w:t>,</w:t>
      </w:r>
      <w:r w:rsidR="00F15FF6" w:rsidRPr="005D15C4">
        <w:rPr>
          <w:rFonts w:ascii="Trebuchet MS" w:hAnsi="Trebuchet MS"/>
        </w:rPr>
        <w:t xml:space="preserve">” an energy </w:t>
      </w:r>
      <w:r w:rsidR="004C1D17" w:rsidRPr="005D15C4">
        <w:rPr>
          <w:rFonts w:ascii="Trebuchet MS" w:hAnsi="Trebuchet MS"/>
        </w:rPr>
        <w:t>efficiency</w:t>
      </w:r>
      <w:r w:rsidR="00F15FF6" w:rsidRPr="005D15C4">
        <w:rPr>
          <w:rFonts w:ascii="Trebuchet MS" w:hAnsi="Trebuchet MS"/>
        </w:rPr>
        <w:t xml:space="preserve"> bill, executive branch nominations, </w:t>
      </w:r>
      <w:r w:rsidR="004C1D17" w:rsidRPr="005D15C4">
        <w:rPr>
          <w:rFonts w:ascii="Trebuchet MS" w:hAnsi="Trebuchet MS"/>
        </w:rPr>
        <w:t>and a resolution authorizing military action in Iraq and Syria.  There is still talk that an effort to finish work on the Sustainable Growth Rate for Physicians (SGR) will materialize, but most see that as too heavy a lift this year.  So, there is plenty to do, but much of it does not relate to the aging and health care agenda.  Of course, the results of the election and who will be leading the Senate in the next Congress will influence the agenda.</w:t>
      </w:r>
      <w:r w:rsidR="008A389E" w:rsidRPr="005D15C4">
        <w:rPr>
          <w:rFonts w:ascii="Trebuchet MS" w:hAnsi="Trebuchet MS"/>
        </w:rPr>
        <w:t xml:space="preserve"> </w:t>
      </w:r>
      <w:r w:rsidR="004C1D17" w:rsidRPr="005D15C4">
        <w:rPr>
          <w:rFonts w:ascii="Trebuchet MS" w:hAnsi="Trebuchet MS"/>
        </w:rPr>
        <w:t xml:space="preserve"> Some Republicans are already discussing plans for significant health care reforms by using the budget reconciliation process next year if they control both the House and Senate.</w:t>
      </w:r>
    </w:p>
    <w:p w:rsidR="00E05E5C" w:rsidRPr="005D15C4" w:rsidRDefault="004C1D17" w:rsidP="00E05E5C">
      <w:pPr>
        <w:pStyle w:val="NormalWeb"/>
        <w:rPr>
          <w:rFonts w:ascii="Trebuchet MS" w:hAnsi="Trebuchet MS"/>
        </w:rPr>
      </w:pPr>
      <w:r w:rsidRPr="005D15C4">
        <w:rPr>
          <w:rFonts w:ascii="Trebuchet MS" w:hAnsi="Trebuchet MS"/>
        </w:rPr>
        <w:t>Finally, t</w:t>
      </w:r>
      <w:r w:rsidR="00DC5103" w:rsidRPr="005D15C4">
        <w:rPr>
          <w:rFonts w:ascii="Trebuchet MS" w:hAnsi="Trebuchet MS"/>
        </w:rPr>
        <w:t xml:space="preserve">he Affordable Care Act remains a relevant force in the upcoming elections.  Here is what a recent Center for </w:t>
      </w:r>
      <w:r w:rsidR="00E05E5C" w:rsidRPr="005D15C4">
        <w:rPr>
          <w:rFonts w:ascii="Trebuchet MS" w:hAnsi="Trebuchet MS"/>
        </w:rPr>
        <w:t>Medicare Advocacy</w:t>
      </w:r>
      <w:r w:rsidR="00DC5103" w:rsidRPr="005D15C4">
        <w:rPr>
          <w:rFonts w:ascii="Trebuchet MS" w:hAnsi="Trebuchet MS"/>
        </w:rPr>
        <w:t xml:space="preserve"> article reported about a September 9, 2014 Kaiser Family Foundation poll: “</w:t>
      </w:r>
      <w:r w:rsidR="00E05E5C" w:rsidRPr="005D15C4">
        <w:rPr>
          <w:rFonts w:ascii="Trebuchet MS" w:hAnsi="Trebuchet MS"/>
        </w:rPr>
        <w:t xml:space="preserve">The Poll also found </w:t>
      </w:r>
      <w:r w:rsidR="00E05E5C" w:rsidRPr="005D15C4">
        <w:rPr>
          <w:rFonts w:ascii="Trebuchet MS" w:hAnsi="Trebuchet MS"/>
        </w:rPr>
        <w:lastRenderedPageBreak/>
        <w:t>that public opinion on the ACA overall remains more negative than positive: 47% view the law unfavorably compared to 35% with a favorable view. The percentages among registered voters are similar, with 49% holding unfavorable views compared to 35% holding favorable views. Among likely voters the negative views increase slightly: 51% compared to 35%. Despite the higher negative opinions of the law, nearly twice as many Americans would like their Congressional representatives to focus on improving the existing law (63%) rather than repealing and replacing it with something else (33%).</w:t>
      </w:r>
    </w:p>
    <w:p w:rsidR="00E05E5C" w:rsidRPr="005D15C4" w:rsidRDefault="00E05E5C" w:rsidP="00E05E5C">
      <w:pPr>
        <w:pStyle w:val="NormalWeb"/>
        <w:rPr>
          <w:rFonts w:ascii="Trebuchet MS" w:hAnsi="Trebuchet MS"/>
        </w:rPr>
      </w:pPr>
      <w:r w:rsidRPr="005D15C4">
        <w:rPr>
          <w:rFonts w:ascii="Trebuchet MS" w:hAnsi="Trebuchet MS"/>
        </w:rPr>
        <w:t>Voters in the 11 states with the most competitive Senate races, as rated by </w:t>
      </w:r>
      <w:r w:rsidRPr="005D15C4">
        <w:rPr>
          <w:rStyle w:val="Emphasis"/>
          <w:rFonts w:ascii="Trebuchet MS" w:hAnsi="Trebuchet MS"/>
        </w:rPr>
        <w:t>The Cook Political Report</w:t>
      </w:r>
      <w:r w:rsidRPr="005D15C4">
        <w:rPr>
          <w:rFonts w:ascii="Trebuchet MS" w:hAnsi="Trebuchet MS"/>
        </w:rPr>
        <w:t>, found that political campaigns focused large percentages of their advertisements on the ACA. The survey found that 72% reported seeing ads related to the health care law; 34% reported seeing more ads against the law, while only 4% reported seeing more ads in support of the law.</w:t>
      </w:r>
      <w:r w:rsidR="00DC5103" w:rsidRPr="005D15C4">
        <w:rPr>
          <w:rFonts w:ascii="Trebuchet MS" w:hAnsi="Trebuchet MS"/>
        </w:rPr>
        <w:t xml:space="preserve">”  </w:t>
      </w:r>
    </w:p>
    <w:p w:rsidR="004C1D17" w:rsidRPr="005D15C4" w:rsidRDefault="004C1D17" w:rsidP="008A389E">
      <w:pPr>
        <w:rPr>
          <w:rFonts w:ascii="Trebuchet MS" w:hAnsi="Trebuchet MS"/>
          <w:b/>
          <w:u w:val="single"/>
        </w:rPr>
      </w:pPr>
    </w:p>
    <w:p w:rsidR="008A389E" w:rsidRPr="005D15C4" w:rsidRDefault="008A389E" w:rsidP="008A389E">
      <w:pPr>
        <w:rPr>
          <w:rFonts w:ascii="Trebuchet MS" w:hAnsi="Trebuchet MS"/>
          <w:b/>
          <w:u w:val="single"/>
        </w:rPr>
      </w:pPr>
      <w:r w:rsidRPr="005D15C4">
        <w:rPr>
          <w:rFonts w:ascii="Trebuchet MS" w:hAnsi="Trebuchet MS"/>
          <w:b/>
          <w:u w:val="single"/>
        </w:rPr>
        <w:t xml:space="preserve">FY 2015 Appropriations </w:t>
      </w:r>
    </w:p>
    <w:p w:rsidR="00BC1A80" w:rsidRPr="005D15C4" w:rsidRDefault="001D787D" w:rsidP="00BC1A80">
      <w:pPr>
        <w:spacing w:before="195" w:after="195"/>
        <w:rPr>
          <w:rFonts w:ascii="Trebuchet MS" w:hAnsi="Trebuchet MS" w:cs="Helvetica"/>
        </w:rPr>
      </w:pPr>
      <w:r w:rsidRPr="005D15C4">
        <w:rPr>
          <w:rFonts w:ascii="Trebuchet MS" w:hAnsi="Trebuchet MS" w:cs="Helvetica"/>
        </w:rPr>
        <w:t>Before Congress left town</w:t>
      </w:r>
      <w:r w:rsidR="005E5F93">
        <w:rPr>
          <w:rFonts w:ascii="Trebuchet MS" w:hAnsi="Trebuchet MS" w:cs="Helvetica"/>
        </w:rPr>
        <w:t>,</w:t>
      </w:r>
      <w:r w:rsidRPr="005D15C4">
        <w:rPr>
          <w:rFonts w:ascii="Trebuchet MS" w:hAnsi="Trebuchet MS" w:cs="Helvetica"/>
        </w:rPr>
        <w:t xml:space="preserve"> the</w:t>
      </w:r>
      <w:r w:rsidR="00BC1A80" w:rsidRPr="005D15C4">
        <w:rPr>
          <w:rFonts w:ascii="Trebuchet MS" w:hAnsi="Trebuchet MS" w:cs="Helvetica"/>
        </w:rPr>
        <w:t xml:space="preserve"> Senate passed H.J.Res.124</w:t>
      </w:r>
      <w:r w:rsidRPr="005D15C4">
        <w:rPr>
          <w:rFonts w:ascii="Trebuchet MS" w:hAnsi="Trebuchet MS" w:cs="Helvetica"/>
        </w:rPr>
        <w:t xml:space="preserve">, which funds the federal </w:t>
      </w:r>
      <w:r w:rsidR="00BC1A80" w:rsidRPr="005D15C4">
        <w:rPr>
          <w:rFonts w:ascii="Trebuchet MS" w:hAnsi="Trebuchet MS" w:cs="Helvetica"/>
        </w:rPr>
        <w:t>government through December 11, 2014</w:t>
      </w:r>
      <w:r w:rsidRPr="005D15C4">
        <w:rPr>
          <w:rFonts w:ascii="Trebuchet MS" w:hAnsi="Trebuchet MS" w:cs="Helvetica"/>
        </w:rPr>
        <w:t>.  The bill also</w:t>
      </w:r>
      <w:r w:rsidR="00BC1A80" w:rsidRPr="005D15C4">
        <w:rPr>
          <w:rFonts w:ascii="Trebuchet MS" w:hAnsi="Trebuchet MS" w:cs="Helvetica"/>
        </w:rPr>
        <w:t xml:space="preserve"> reauthorizes the Export-Import Bank through June 2015</w:t>
      </w:r>
      <w:r w:rsidRPr="005D15C4">
        <w:rPr>
          <w:rFonts w:ascii="Trebuchet MS" w:hAnsi="Trebuchet MS" w:cs="Helvetica"/>
        </w:rPr>
        <w:t xml:space="preserve">, </w:t>
      </w:r>
      <w:r w:rsidR="00BC1A80" w:rsidRPr="005D15C4">
        <w:rPr>
          <w:rFonts w:ascii="Trebuchet MS" w:hAnsi="Trebuchet MS" w:cs="Helvetica"/>
        </w:rPr>
        <w:t xml:space="preserve">provides $88 million to </w:t>
      </w:r>
      <w:r w:rsidRPr="005D15C4">
        <w:rPr>
          <w:rFonts w:ascii="Trebuchet MS" w:hAnsi="Trebuchet MS" w:cs="Helvetica"/>
        </w:rPr>
        <w:t>fight</w:t>
      </w:r>
      <w:r w:rsidR="00BC1A80" w:rsidRPr="005D15C4">
        <w:rPr>
          <w:rFonts w:ascii="Trebuchet MS" w:hAnsi="Trebuchet MS" w:cs="Helvetica"/>
        </w:rPr>
        <w:t xml:space="preserve"> the Ebola outbreak in Africa</w:t>
      </w:r>
      <w:r w:rsidRPr="005D15C4">
        <w:rPr>
          <w:rFonts w:ascii="Trebuchet MS" w:hAnsi="Trebuchet MS" w:cs="Helvetica"/>
        </w:rPr>
        <w:t>,</w:t>
      </w:r>
      <w:r w:rsidR="00BC1A80" w:rsidRPr="005D15C4">
        <w:rPr>
          <w:rFonts w:ascii="Trebuchet MS" w:hAnsi="Trebuchet MS" w:cs="Helvetica"/>
        </w:rPr>
        <w:t xml:space="preserve"> and authorizes the arming and training of Syrian opposition fighters.</w:t>
      </w:r>
      <w:r w:rsidR="002C1F5B" w:rsidRPr="005D15C4">
        <w:rPr>
          <w:rFonts w:ascii="Trebuchet MS" w:hAnsi="Trebuchet MS" w:cs="Helvetica"/>
        </w:rPr>
        <w:t xml:space="preserve">  The bill funds government programs and services at the current annual cap of $1.012 trillion but includes an across the board cut of 0.0554 percent.  How this reduction will play out in the final appropriation bill for the rest of the fiscal year has not been determined.</w:t>
      </w:r>
      <w:r w:rsidR="00BC1A80" w:rsidRPr="005D15C4">
        <w:rPr>
          <w:rFonts w:ascii="Trebuchet MS" w:hAnsi="Trebuchet MS" w:cs="Helvetica"/>
        </w:rPr>
        <w:t xml:space="preserve">  </w:t>
      </w:r>
    </w:p>
    <w:p w:rsidR="00BC1A80" w:rsidRPr="005D15C4" w:rsidRDefault="00BC1A80" w:rsidP="00BC1A80">
      <w:pPr>
        <w:rPr>
          <w:rFonts w:ascii="Trebuchet MS" w:hAnsi="Trebuchet MS"/>
        </w:rPr>
      </w:pPr>
    </w:p>
    <w:p w:rsidR="00BC1A80" w:rsidRPr="005D15C4" w:rsidRDefault="00BC1A80" w:rsidP="003A5920">
      <w:pPr>
        <w:rPr>
          <w:rFonts w:ascii="Trebuchet MS" w:hAnsi="Trebuchet MS"/>
        </w:rPr>
      </w:pPr>
      <w:r w:rsidRPr="005D15C4">
        <w:rPr>
          <w:rFonts w:ascii="Trebuchet MS" w:hAnsi="Trebuchet MS"/>
        </w:rPr>
        <w:t xml:space="preserve">Here are </w:t>
      </w:r>
      <w:r w:rsidR="002C1F5B" w:rsidRPr="005D15C4">
        <w:rPr>
          <w:rFonts w:ascii="Trebuchet MS" w:hAnsi="Trebuchet MS"/>
        </w:rPr>
        <w:t>two</w:t>
      </w:r>
      <w:r w:rsidRPr="005D15C4">
        <w:rPr>
          <w:rFonts w:ascii="Trebuchet MS" w:hAnsi="Trebuchet MS"/>
        </w:rPr>
        <w:t xml:space="preserve"> items of note that were included in the CR:</w:t>
      </w:r>
    </w:p>
    <w:p w:rsidR="00BC1A80" w:rsidRPr="005D15C4" w:rsidRDefault="00BC1A80" w:rsidP="003A5920">
      <w:pPr>
        <w:rPr>
          <w:rFonts w:ascii="Trebuchet MS" w:hAnsi="Trebuchet MS"/>
        </w:rPr>
      </w:pPr>
    </w:p>
    <w:p w:rsidR="003A5920" w:rsidRPr="005D15C4" w:rsidRDefault="00BC1A80" w:rsidP="003A5920">
      <w:pPr>
        <w:rPr>
          <w:rFonts w:ascii="Trebuchet MS" w:hAnsi="Trebuchet MS"/>
        </w:rPr>
      </w:pPr>
      <w:r w:rsidRPr="005D15C4">
        <w:rPr>
          <w:rFonts w:ascii="Trebuchet MS" w:hAnsi="Trebuchet MS"/>
        </w:rPr>
        <w:t>Commodity Supplemental Food Program:</w:t>
      </w:r>
      <w:r w:rsidR="003A5920" w:rsidRPr="005D15C4">
        <w:rPr>
          <w:rFonts w:ascii="Trebuchet MS" w:hAnsi="Trebuchet MS"/>
        </w:rPr>
        <w:t xml:space="preserve"> </w:t>
      </w:r>
      <w:r w:rsidRPr="005D15C4">
        <w:rPr>
          <w:rFonts w:ascii="Trebuchet MS" w:hAnsi="Trebuchet MS"/>
        </w:rPr>
        <w:t xml:space="preserve">“A provision allowing additional funds to offset food price increases in the Commodity Supplemental Food Program to ensure that no current recipients are removed from the program.” </w:t>
      </w:r>
      <w:r w:rsidR="003A5920" w:rsidRPr="005D15C4">
        <w:rPr>
          <w:rFonts w:ascii="Trebuchet MS" w:hAnsi="Trebuchet MS"/>
        </w:rPr>
        <w:t>(</w:t>
      </w:r>
      <w:hyperlink r:id="rId8" w:history="1">
        <w:r w:rsidR="003A5920" w:rsidRPr="005D15C4">
          <w:rPr>
            <w:rStyle w:val="Hyperlink"/>
            <w:rFonts w:ascii="Trebuchet MS" w:hAnsi="Trebuchet MS"/>
          </w:rPr>
          <w:t>http://appropriations.house.gov/news/documentsingle.aspx?DocumentID=392934</w:t>
        </w:r>
      </w:hyperlink>
      <w:r w:rsidR="003A5920" w:rsidRPr="005D15C4">
        <w:rPr>
          <w:rFonts w:ascii="Trebuchet MS" w:hAnsi="Trebuchet MS"/>
        </w:rPr>
        <w:t>).</w:t>
      </w:r>
    </w:p>
    <w:p w:rsidR="003A5920" w:rsidRPr="005D15C4" w:rsidRDefault="003A5920" w:rsidP="003A5920">
      <w:pPr>
        <w:rPr>
          <w:rFonts w:ascii="Trebuchet MS" w:hAnsi="Trebuchet MS"/>
        </w:rPr>
      </w:pPr>
    </w:p>
    <w:p w:rsidR="003A5920" w:rsidRPr="005D15C4" w:rsidRDefault="00BC1A80" w:rsidP="003A5920">
      <w:pPr>
        <w:rPr>
          <w:rFonts w:ascii="Trebuchet MS" w:hAnsi="Trebuchet MS"/>
        </w:rPr>
      </w:pPr>
      <w:r w:rsidRPr="005D15C4">
        <w:rPr>
          <w:rFonts w:ascii="Trebuchet MS" w:hAnsi="Trebuchet MS"/>
        </w:rPr>
        <w:t>LIHEAP (</w:t>
      </w:r>
      <w:r w:rsidR="003A5920" w:rsidRPr="005D15C4">
        <w:rPr>
          <w:rFonts w:ascii="Trebuchet MS" w:hAnsi="Trebuchet MS"/>
        </w:rPr>
        <w:t>from the LIHEAP coalition</w:t>
      </w:r>
      <w:r w:rsidRPr="005D15C4">
        <w:rPr>
          <w:rFonts w:ascii="Trebuchet MS" w:hAnsi="Trebuchet MS"/>
        </w:rPr>
        <w:t xml:space="preserve"> </w:t>
      </w:r>
      <w:hyperlink r:id="rId9" w:history="1">
        <w:r w:rsidRPr="005D15C4">
          <w:rPr>
            <w:rStyle w:val="Hyperlink"/>
            <w:rFonts w:ascii="Trebuchet MS" w:hAnsi="Trebuchet MS"/>
          </w:rPr>
          <w:t>www.liheap.org</w:t>
        </w:r>
      </w:hyperlink>
      <w:r w:rsidRPr="005D15C4">
        <w:rPr>
          <w:rFonts w:ascii="Trebuchet MS" w:hAnsi="Trebuchet MS"/>
        </w:rPr>
        <w:t xml:space="preserve">): the </w:t>
      </w:r>
      <w:r w:rsidR="003A5920" w:rsidRPr="005D15C4">
        <w:rPr>
          <w:rFonts w:ascii="Trebuchet MS" w:hAnsi="Trebuchet MS"/>
        </w:rPr>
        <w:t>CR contain</w:t>
      </w:r>
      <w:r w:rsidRPr="005D15C4">
        <w:rPr>
          <w:rFonts w:ascii="Trebuchet MS" w:hAnsi="Trebuchet MS"/>
        </w:rPr>
        <w:t>s</w:t>
      </w:r>
      <w:r w:rsidR="003A5920" w:rsidRPr="005D15C4">
        <w:rPr>
          <w:rFonts w:ascii="Trebuchet MS" w:hAnsi="Trebuchet MS"/>
        </w:rPr>
        <w:t xml:space="preserve"> language similar to last year that allows HHS to allocate up to 90% of the LIHEAP funding during the term of the CR (while most programs without such exceptions are expected to be conservative in their spending through December). This will allow LIHEAP to respond to the bulk of demand for heating assistance. </w:t>
      </w:r>
    </w:p>
    <w:p w:rsidR="003A5920" w:rsidRPr="005D15C4" w:rsidRDefault="003A5920" w:rsidP="003A5920">
      <w:pPr>
        <w:rPr>
          <w:rFonts w:ascii="Trebuchet MS" w:hAnsi="Trebuchet MS"/>
        </w:rPr>
      </w:pPr>
    </w:p>
    <w:p w:rsidR="003A5920" w:rsidRPr="005D15C4" w:rsidRDefault="001D787D" w:rsidP="00BC1A80">
      <w:pPr>
        <w:rPr>
          <w:rFonts w:ascii="Trebuchet MS" w:hAnsi="Trebuchet MS"/>
        </w:rPr>
      </w:pPr>
      <w:r w:rsidRPr="005D15C4">
        <w:rPr>
          <w:rFonts w:ascii="Trebuchet MS" w:hAnsi="Trebuchet MS"/>
        </w:rPr>
        <w:t xml:space="preserve">Here is a link to information on </w:t>
      </w:r>
      <w:hyperlink r:id="rId10" w:history="1">
        <w:r w:rsidRPr="005D15C4">
          <w:rPr>
            <w:rStyle w:val="Hyperlink"/>
            <w:rFonts w:ascii="Trebuchet MS" w:hAnsi="Trebuchet MS"/>
          </w:rPr>
          <w:t>the</w:t>
        </w:r>
        <w:r w:rsidR="003A5920" w:rsidRPr="005D15C4">
          <w:rPr>
            <w:rStyle w:val="Hyperlink"/>
            <w:rFonts w:ascii="Trebuchet MS" w:hAnsi="Trebuchet MS"/>
          </w:rPr>
          <w:t xml:space="preserve"> CR</w:t>
        </w:r>
      </w:hyperlink>
      <w:r w:rsidRPr="005D15C4">
        <w:rPr>
          <w:rStyle w:val="Hyperlink"/>
          <w:rFonts w:ascii="Trebuchet MS" w:hAnsi="Trebuchet MS"/>
        </w:rPr>
        <w:t>.</w:t>
      </w:r>
      <w:r w:rsidR="003A5920" w:rsidRPr="005D15C4">
        <w:rPr>
          <w:rFonts w:ascii="Trebuchet MS" w:hAnsi="Trebuchet MS"/>
        </w:rPr>
        <w:t xml:space="preserve">  </w:t>
      </w:r>
    </w:p>
    <w:p w:rsidR="00D01AF8" w:rsidRPr="005D15C4" w:rsidRDefault="00D01AF8" w:rsidP="00D01AF8">
      <w:pPr>
        <w:rPr>
          <w:rFonts w:ascii="Trebuchet MS" w:hAnsi="Trebuchet MS"/>
        </w:rPr>
      </w:pPr>
    </w:p>
    <w:p w:rsidR="008A389E" w:rsidRPr="005D15C4" w:rsidRDefault="001D787D" w:rsidP="008A389E">
      <w:pPr>
        <w:rPr>
          <w:rStyle w:val="Strong"/>
          <w:rFonts w:ascii="Trebuchet MS" w:hAnsi="Trebuchet MS"/>
          <w:color w:val="000000"/>
        </w:rPr>
      </w:pPr>
      <w:r w:rsidRPr="005D15C4">
        <w:rPr>
          <w:rFonts w:ascii="Trebuchet MS" w:hAnsi="Trebuchet MS"/>
          <w:color w:val="000000"/>
        </w:rPr>
        <w:t xml:space="preserve">On September 15, the </w:t>
      </w:r>
      <w:r w:rsidR="00F76E3B" w:rsidRPr="005D15C4">
        <w:rPr>
          <w:rFonts w:ascii="Trebuchet MS" w:hAnsi="Trebuchet MS"/>
          <w:color w:val="000000"/>
        </w:rPr>
        <w:t xml:space="preserve">House Appropriations Labor-HHS-Education Subcommittee Democrats released an appropriations bill for Labor-HHS-Education FY 2015. </w:t>
      </w:r>
      <w:r w:rsidRPr="005D15C4">
        <w:rPr>
          <w:rFonts w:ascii="Trebuchet MS" w:hAnsi="Trebuchet MS"/>
          <w:color w:val="000000"/>
        </w:rPr>
        <w:t>Among other things, it</w:t>
      </w:r>
      <w:r w:rsidR="00F76E3B" w:rsidRPr="005D15C4">
        <w:rPr>
          <w:rFonts w:ascii="Trebuchet MS" w:hAnsi="Trebuchet MS"/>
          <w:color w:val="000000"/>
        </w:rPr>
        <w:t xml:space="preserve"> would fund the Elder Justice </w:t>
      </w:r>
      <w:r w:rsidR="00F76E3B" w:rsidRPr="005D15C4">
        <w:rPr>
          <w:rFonts w:ascii="Trebuchet MS" w:hAnsi="Trebuchet MS"/>
          <w:color w:val="000000"/>
        </w:rPr>
        <w:lastRenderedPageBreak/>
        <w:t>Initiative at the same level as the Senate proposed</w:t>
      </w:r>
      <w:r w:rsidRPr="005D15C4">
        <w:rPr>
          <w:rFonts w:ascii="Trebuchet MS" w:hAnsi="Trebuchet MS"/>
          <w:color w:val="000000"/>
        </w:rPr>
        <w:t xml:space="preserve"> </w:t>
      </w:r>
      <w:proofErr w:type="spellStart"/>
      <w:proofErr w:type="gramStart"/>
      <w:r w:rsidRPr="005D15C4">
        <w:rPr>
          <w:rFonts w:ascii="Trebuchet MS" w:hAnsi="Trebuchet MS"/>
          <w:color w:val="000000"/>
        </w:rPr>
        <w:t>in</w:t>
      </w:r>
      <w:r w:rsidR="005E5F93">
        <w:rPr>
          <w:rFonts w:ascii="Trebuchet MS" w:hAnsi="Trebuchet MS"/>
          <w:color w:val="000000"/>
        </w:rPr>
        <w:t>its</w:t>
      </w:r>
      <w:proofErr w:type="spellEnd"/>
      <w:r w:rsidR="005E5F93">
        <w:rPr>
          <w:rFonts w:ascii="Trebuchet MS" w:hAnsi="Trebuchet MS"/>
          <w:color w:val="000000"/>
        </w:rPr>
        <w:t xml:space="preserve"> </w:t>
      </w:r>
      <w:r w:rsidRPr="005D15C4">
        <w:rPr>
          <w:rFonts w:ascii="Trebuchet MS" w:hAnsi="Trebuchet MS"/>
          <w:color w:val="000000"/>
        </w:rPr>
        <w:t xml:space="preserve"> bill</w:t>
      </w:r>
      <w:proofErr w:type="gramEnd"/>
      <w:r w:rsidR="00F76E3B" w:rsidRPr="005D15C4">
        <w:rPr>
          <w:rFonts w:ascii="Trebuchet MS" w:hAnsi="Trebuchet MS"/>
          <w:color w:val="000000"/>
        </w:rPr>
        <w:t xml:space="preserve">, $10 million. </w:t>
      </w:r>
      <w:r w:rsidRPr="005D15C4">
        <w:rPr>
          <w:rFonts w:ascii="Trebuchet MS" w:hAnsi="Trebuchet MS"/>
          <w:color w:val="000000"/>
        </w:rPr>
        <w:t xml:space="preserve">Here are the details: </w:t>
      </w:r>
      <w:hyperlink r:id="rId11" w:tgtFrame="_blank" w:history="1">
        <w:r w:rsidR="00F76E3B" w:rsidRPr="005D15C4">
          <w:rPr>
            <w:rStyle w:val="Hyperlink"/>
            <w:rFonts w:ascii="Trebuchet MS" w:hAnsi="Trebuchet MS"/>
            <w:b/>
            <w:bCs/>
          </w:rPr>
          <w:t>one-pager</w:t>
        </w:r>
      </w:hyperlink>
      <w:r w:rsidR="00F76E3B" w:rsidRPr="005D15C4">
        <w:rPr>
          <w:rStyle w:val="Strong"/>
          <w:rFonts w:ascii="Trebuchet MS" w:hAnsi="Trebuchet MS"/>
          <w:color w:val="000000"/>
        </w:rPr>
        <w:t xml:space="preserve">; </w:t>
      </w:r>
      <w:hyperlink r:id="rId12" w:tgtFrame="_blank" w:history="1">
        <w:r w:rsidR="00F76E3B" w:rsidRPr="005D15C4">
          <w:rPr>
            <w:rStyle w:val="Hyperlink"/>
            <w:rFonts w:ascii="Trebuchet MS" w:hAnsi="Trebuchet MS"/>
            <w:b/>
            <w:bCs/>
          </w:rPr>
          <w:t>summary</w:t>
        </w:r>
      </w:hyperlink>
      <w:r w:rsidR="00F76E3B" w:rsidRPr="005D15C4">
        <w:rPr>
          <w:rStyle w:val="Strong"/>
          <w:rFonts w:ascii="Trebuchet MS" w:hAnsi="Trebuchet MS"/>
          <w:color w:val="000000"/>
        </w:rPr>
        <w:t xml:space="preserve">; </w:t>
      </w:r>
      <w:hyperlink r:id="rId13" w:tgtFrame="_blank" w:history="1">
        <w:r w:rsidR="00F76E3B" w:rsidRPr="005D15C4">
          <w:rPr>
            <w:rStyle w:val="Hyperlink"/>
            <w:rFonts w:ascii="Trebuchet MS" w:hAnsi="Trebuchet MS"/>
            <w:b/>
            <w:bCs/>
          </w:rPr>
          <w:t>funding table</w:t>
        </w:r>
      </w:hyperlink>
      <w:r w:rsidR="00F76E3B" w:rsidRPr="005D15C4">
        <w:rPr>
          <w:rStyle w:val="Strong"/>
          <w:rFonts w:ascii="Trebuchet MS" w:hAnsi="Trebuchet MS"/>
          <w:color w:val="000000"/>
        </w:rPr>
        <w:t xml:space="preserve">; </w:t>
      </w:r>
      <w:hyperlink r:id="rId14" w:tgtFrame="_blank" w:history="1">
        <w:r w:rsidR="00F76E3B" w:rsidRPr="005D15C4">
          <w:rPr>
            <w:rStyle w:val="Hyperlink"/>
            <w:rFonts w:ascii="Trebuchet MS" w:hAnsi="Trebuchet MS"/>
            <w:b/>
            <w:bCs/>
          </w:rPr>
          <w:t>full bill</w:t>
        </w:r>
      </w:hyperlink>
      <w:r w:rsidRPr="005D15C4">
        <w:rPr>
          <w:rStyle w:val="Strong"/>
          <w:rFonts w:ascii="Trebuchet MS" w:hAnsi="Trebuchet MS"/>
          <w:color w:val="000000"/>
        </w:rPr>
        <w:t>.</w:t>
      </w:r>
    </w:p>
    <w:p w:rsidR="001D787D" w:rsidRPr="005D15C4" w:rsidRDefault="001D787D" w:rsidP="008A389E">
      <w:pPr>
        <w:rPr>
          <w:rFonts w:ascii="Trebuchet MS" w:hAnsi="Trebuchet MS"/>
          <w:u w:val="single"/>
        </w:rPr>
      </w:pPr>
    </w:p>
    <w:p w:rsidR="002C1F5B" w:rsidRPr="005D15C4" w:rsidRDefault="002C1F5B" w:rsidP="008A389E">
      <w:pPr>
        <w:rPr>
          <w:rFonts w:ascii="Trebuchet MS" w:hAnsi="Trebuchet MS"/>
          <w:u w:val="single"/>
        </w:rPr>
      </w:pPr>
    </w:p>
    <w:p w:rsidR="00DC5103" w:rsidRPr="005D15C4" w:rsidRDefault="00DC5103" w:rsidP="00D01AF8">
      <w:pPr>
        <w:rPr>
          <w:rFonts w:ascii="Trebuchet MS" w:hAnsi="Trebuchet MS"/>
          <w:b/>
          <w:u w:val="single"/>
        </w:rPr>
      </w:pPr>
      <w:r w:rsidRPr="005D15C4">
        <w:rPr>
          <w:rFonts w:ascii="Trebuchet MS" w:hAnsi="Trebuchet MS"/>
          <w:b/>
          <w:u w:val="single"/>
        </w:rPr>
        <w:t>Hospice Legislation</w:t>
      </w:r>
    </w:p>
    <w:p w:rsidR="00835289" w:rsidRPr="005D15C4" w:rsidRDefault="00DC5103" w:rsidP="00D01AF8">
      <w:pPr>
        <w:rPr>
          <w:rFonts w:ascii="Trebuchet MS" w:hAnsi="Trebuchet MS"/>
        </w:rPr>
      </w:pPr>
      <w:r w:rsidRPr="005D15C4">
        <w:rPr>
          <w:rFonts w:ascii="Trebuchet MS" w:hAnsi="Trebuchet MS"/>
        </w:rPr>
        <w:t>The last week before the House and Senate recessed until after the elections, both bodies passed H.R. 4994</w:t>
      </w:r>
      <w:r w:rsidR="00DF4010" w:rsidRPr="005D15C4">
        <w:rPr>
          <w:rFonts w:ascii="Trebuchet MS" w:hAnsi="Trebuchet MS"/>
        </w:rPr>
        <w:t xml:space="preserve"> (S. 2553)</w:t>
      </w:r>
      <w:r w:rsidRPr="005D15C4">
        <w:rPr>
          <w:rFonts w:ascii="Trebuchet MS" w:hAnsi="Trebuchet MS"/>
        </w:rPr>
        <w:t xml:space="preserve">, the Improving Medicare Post-Acute Care </w:t>
      </w:r>
      <w:r w:rsidR="00DF4010" w:rsidRPr="005D15C4">
        <w:rPr>
          <w:rFonts w:ascii="Trebuchet MS" w:hAnsi="Trebuchet MS"/>
        </w:rPr>
        <w:t>Transformation</w:t>
      </w:r>
      <w:r w:rsidRPr="005D15C4">
        <w:rPr>
          <w:rFonts w:ascii="Trebuchet MS" w:hAnsi="Trebuchet MS"/>
        </w:rPr>
        <w:t xml:space="preserve"> Act (IMPACT Act).  The bill </w:t>
      </w:r>
      <w:r w:rsidR="00835289" w:rsidRPr="005D15C4">
        <w:rPr>
          <w:rFonts w:ascii="Trebuchet MS" w:hAnsi="Trebuchet MS"/>
        </w:rPr>
        <w:t xml:space="preserve">is expected to be signed by the </w:t>
      </w:r>
      <w:r w:rsidR="00DF4010" w:rsidRPr="005D15C4">
        <w:rPr>
          <w:rFonts w:ascii="Trebuchet MS" w:hAnsi="Trebuchet MS"/>
        </w:rPr>
        <w:t>President</w:t>
      </w:r>
      <w:r w:rsidR="00835289" w:rsidRPr="005D15C4">
        <w:rPr>
          <w:rFonts w:ascii="Trebuchet MS" w:hAnsi="Trebuchet MS"/>
        </w:rPr>
        <w:t xml:space="preserve">.  </w:t>
      </w:r>
    </w:p>
    <w:p w:rsidR="00DF4010" w:rsidRPr="005D15C4" w:rsidRDefault="00DF4010" w:rsidP="00D01AF8">
      <w:pPr>
        <w:rPr>
          <w:rFonts w:ascii="Trebuchet MS" w:hAnsi="Trebuchet MS"/>
        </w:rPr>
      </w:pPr>
    </w:p>
    <w:p w:rsidR="003A5920" w:rsidRPr="005D15C4" w:rsidRDefault="00835289" w:rsidP="003C4D62">
      <w:pPr>
        <w:rPr>
          <w:rStyle w:val="Hyperlink"/>
          <w:rFonts w:ascii="Trebuchet MS" w:hAnsi="Trebuchet MS" w:cs="Arial"/>
        </w:rPr>
      </w:pPr>
      <w:r w:rsidRPr="005D15C4">
        <w:rPr>
          <w:rFonts w:ascii="Trebuchet MS" w:hAnsi="Trebuchet MS"/>
        </w:rPr>
        <w:t>Post-acute care can be provided by skilled nursing facilities, inpatient rehab facilities, long-term care hospitals, and home health agencies.  These providers will now have to submit standardized data which will help enable comparisons across various provider the settings.  The legislati</w:t>
      </w:r>
      <w:r w:rsidR="00DF4010" w:rsidRPr="005D15C4">
        <w:rPr>
          <w:rFonts w:ascii="Trebuchet MS" w:hAnsi="Trebuchet MS"/>
        </w:rPr>
        <w:t>on also has the Department of H</w:t>
      </w:r>
      <w:r w:rsidRPr="005D15C4">
        <w:rPr>
          <w:rFonts w:ascii="Trebuchet MS" w:hAnsi="Trebuchet MS"/>
        </w:rPr>
        <w:t>ea</w:t>
      </w:r>
      <w:r w:rsidR="00DF4010" w:rsidRPr="005D15C4">
        <w:rPr>
          <w:rFonts w:ascii="Trebuchet MS" w:hAnsi="Trebuchet MS"/>
        </w:rPr>
        <w:t>lth and</w:t>
      </w:r>
      <w:r w:rsidRPr="005D15C4">
        <w:rPr>
          <w:rFonts w:ascii="Trebuchet MS" w:hAnsi="Trebuchet MS"/>
        </w:rPr>
        <w:t xml:space="preserve"> Human Services reducing payment</w:t>
      </w:r>
      <w:r w:rsidR="00DF4010" w:rsidRPr="005D15C4">
        <w:rPr>
          <w:rFonts w:ascii="Trebuchet MS" w:hAnsi="Trebuchet MS"/>
        </w:rPr>
        <w:t>s</w:t>
      </w:r>
      <w:r w:rsidRPr="005D15C4">
        <w:rPr>
          <w:rFonts w:ascii="Trebuchet MS" w:hAnsi="Trebuchet MS"/>
        </w:rPr>
        <w:t xml:space="preserve"> to nursing homes that do not report the data.  Data will be use</w:t>
      </w:r>
      <w:r w:rsidR="00DF4010" w:rsidRPr="005D15C4">
        <w:rPr>
          <w:rFonts w:ascii="Trebuchet MS" w:hAnsi="Trebuchet MS"/>
        </w:rPr>
        <w:t xml:space="preserve"> to modify the payment system, better coordinate care, and improve outcomes in the future.</w:t>
      </w:r>
      <w:r w:rsidR="003C4D62" w:rsidRPr="005D15C4">
        <w:rPr>
          <w:rFonts w:ascii="Trebuchet MS" w:hAnsi="Trebuchet MS"/>
        </w:rPr>
        <w:t xml:space="preserve">  The bill increases the scrutiny on hospice providers.  The </w:t>
      </w:r>
      <w:r w:rsidR="003C4D62" w:rsidRPr="005D15C4">
        <w:rPr>
          <w:rFonts w:ascii="Trebuchet MS" w:hAnsi="Trebuchet MS"/>
          <w:i/>
        </w:rPr>
        <w:t>Washington Post</w:t>
      </w:r>
      <w:r w:rsidR="003C4D62" w:rsidRPr="005D15C4">
        <w:rPr>
          <w:rFonts w:ascii="Trebuchet MS" w:hAnsi="Trebuchet MS"/>
        </w:rPr>
        <w:t xml:space="preserve"> reported that: “</w:t>
      </w:r>
      <w:r w:rsidR="003C4D62" w:rsidRPr="005D15C4">
        <w:rPr>
          <w:rFonts w:ascii="Trebuchet MS" w:hAnsi="Trebuchet MS" w:cs="Arial"/>
          <w:color w:val="000000"/>
        </w:rPr>
        <w:t>S</w:t>
      </w:r>
      <w:r w:rsidR="00FF1E90" w:rsidRPr="005D15C4">
        <w:rPr>
          <w:rFonts w:ascii="Trebuchet MS" w:hAnsi="Trebuchet MS" w:cs="Arial"/>
          <w:color w:val="000000"/>
        </w:rPr>
        <w:t xml:space="preserve">everal Medicare statistics analyzed by the </w:t>
      </w:r>
      <w:r w:rsidR="00FF1E90" w:rsidRPr="005D15C4">
        <w:rPr>
          <w:rStyle w:val="Emphasis"/>
          <w:rFonts w:ascii="Trebuchet MS" w:hAnsi="Trebuchet MS" w:cs="Arial"/>
          <w:color w:val="000000"/>
        </w:rPr>
        <w:t>Washington Post</w:t>
      </w:r>
      <w:r w:rsidR="00FF1E90" w:rsidRPr="005D15C4">
        <w:rPr>
          <w:rFonts w:ascii="Trebuchet MS" w:hAnsi="Trebuchet MS" w:cs="Arial"/>
          <w:color w:val="000000"/>
        </w:rPr>
        <w:t xml:space="preserve"> indicate that some hospices may be stinting on patient care in order to pad profits. For example, about 18 percent did not provide a single patient with "crisis care" during 2012, according to Medicare billings analyzed by the </w:t>
      </w:r>
      <w:r w:rsidR="00FF1E90" w:rsidRPr="0001571B">
        <w:rPr>
          <w:rFonts w:ascii="Trebuchet MS" w:hAnsi="Trebuchet MS" w:cs="Arial"/>
          <w:i/>
          <w:color w:val="000000"/>
        </w:rPr>
        <w:t>Washington Post</w:t>
      </w:r>
      <w:r w:rsidR="00FF1E90" w:rsidRPr="005D15C4">
        <w:rPr>
          <w:rFonts w:ascii="Trebuchet MS" w:hAnsi="Trebuchet MS" w:cs="Arial"/>
          <w:color w:val="000000"/>
        </w:rPr>
        <w:t>, meaning the hospice did not provide either continuous nursing care or inpatient treatments. Hospices are required to provide such services to patients whose symptoms are difficult to control.</w:t>
      </w:r>
      <w:r w:rsidR="003C4D62" w:rsidRPr="005D15C4">
        <w:rPr>
          <w:rFonts w:ascii="Trebuchet MS" w:hAnsi="Trebuchet MS" w:cs="Arial"/>
          <w:color w:val="000000"/>
        </w:rPr>
        <w:t xml:space="preserve">” </w:t>
      </w:r>
      <w:r w:rsidR="00FF1E90" w:rsidRPr="005D15C4">
        <w:rPr>
          <w:rFonts w:ascii="Trebuchet MS" w:hAnsi="Trebuchet MS" w:cs="Arial"/>
          <w:color w:val="000000"/>
        </w:rPr>
        <w:t xml:space="preserve"> </w:t>
      </w:r>
      <w:hyperlink r:id="rId15" w:tgtFrame="_blank" w:history="1">
        <w:r w:rsidR="00FF1E90" w:rsidRPr="005D15C4">
          <w:rPr>
            <w:rStyle w:val="Emphasis"/>
            <w:rFonts w:ascii="Trebuchet MS" w:hAnsi="Trebuchet MS" w:cs="Arial"/>
            <w:color w:val="0000FF"/>
            <w:u w:val="single"/>
          </w:rPr>
          <w:t>Washington Post</w:t>
        </w:r>
        <w:r w:rsidR="00FF1E90" w:rsidRPr="005D15C4">
          <w:rPr>
            <w:rStyle w:val="Hyperlink"/>
            <w:rFonts w:ascii="Trebuchet MS" w:hAnsi="Trebuchet MS" w:cs="Arial"/>
          </w:rPr>
          <w:t xml:space="preserve"> </w:t>
        </w:r>
      </w:hyperlink>
    </w:p>
    <w:p w:rsidR="003A5920" w:rsidRPr="005D15C4" w:rsidRDefault="003C4D62" w:rsidP="003A5920">
      <w:pPr>
        <w:pStyle w:val="NormalWeb"/>
        <w:rPr>
          <w:rFonts w:ascii="Trebuchet MS" w:hAnsi="Trebuchet MS" w:cs="Arial"/>
          <w:color w:val="000000"/>
        </w:rPr>
      </w:pPr>
      <w:r w:rsidRPr="005D15C4">
        <w:rPr>
          <w:rFonts w:ascii="Trebuchet MS" w:hAnsi="Trebuchet MS" w:cs="Arial"/>
          <w:color w:val="000000"/>
        </w:rPr>
        <w:t>In the meantime, t</w:t>
      </w:r>
      <w:r w:rsidR="003A5920" w:rsidRPr="005D15C4">
        <w:rPr>
          <w:rFonts w:ascii="Trebuchet MS" w:hAnsi="Trebuchet MS" w:cs="Arial"/>
          <w:color w:val="000000"/>
        </w:rPr>
        <w:t>he American Medical Association (AMA) released current procedural terminology (CPT) codes for advance</w:t>
      </w:r>
      <w:r w:rsidR="00906F26" w:rsidRPr="005D15C4">
        <w:rPr>
          <w:rFonts w:ascii="Trebuchet MS" w:hAnsi="Trebuchet MS" w:cs="Arial"/>
          <w:color w:val="000000"/>
        </w:rPr>
        <w:t>d</w:t>
      </w:r>
      <w:r w:rsidR="003A5920" w:rsidRPr="005D15C4">
        <w:rPr>
          <w:rFonts w:ascii="Trebuchet MS" w:hAnsi="Trebuchet MS" w:cs="Arial"/>
          <w:color w:val="000000"/>
        </w:rPr>
        <w:t xml:space="preserve"> care planning services</w:t>
      </w:r>
      <w:r w:rsidRPr="005D15C4">
        <w:rPr>
          <w:rFonts w:ascii="Trebuchet MS" w:hAnsi="Trebuchet MS" w:cs="Arial"/>
          <w:color w:val="000000"/>
        </w:rPr>
        <w:t>.  These codes address the issue of paying doctors for the e</w:t>
      </w:r>
      <w:r w:rsidR="003A5920" w:rsidRPr="005D15C4">
        <w:rPr>
          <w:rFonts w:ascii="Trebuchet MS" w:hAnsi="Trebuchet MS" w:cs="Arial"/>
          <w:color w:val="000000"/>
        </w:rPr>
        <w:t xml:space="preserve">nd-of-life discussions </w:t>
      </w:r>
      <w:r w:rsidRPr="005D15C4">
        <w:rPr>
          <w:rFonts w:ascii="Trebuchet MS" w:hAnsi="Trebuchet MS" w:cs="Arial"/>
          <w:color w:val="000000"/>
        </w:rPr>
        <w:t xml:space="preserve">that they have with </w:t>
      </w:r>
      <w:r w:rsidR="003A5920" w:rsidRPr="005D15C4">
        <w:rPr>
          <w:rFonts w:ascii="Trebuchet MS" w:hAnsi="Trebuchet MS" w:cs="Arial"/>
          <w:color w:val="000000"/>
        </w:rPr>
        <w:t xml:space="preserve">patients. </w:t>
      </w:r>
      <w:r w:rsidRPr="005D15C4">
        <w:rPr>
          <w:rFonts w:ascii="Trebuchet MS" w:hAnsi="Trebuchet MS" w:cs="Arial"/>
          <w:color w:val="000000"/>
        </w:rPr>
        <w:t>One of the</w:t>
      </w:r>
      <w:r w:rsidR="003A5920" w:rsidRPr="005D15C4">
        <w:rPr>
          <w:rFonts w:ascii="Trebuchet MS" w:hAnsi="Trebuchet MS" w:cs="Arial"/>
          <w:color w:val="000000"/>
        </w:rPr>
        <w:t xml:space="preserve"> new </w:t>
      </w:r>
      <w:r w:rsidRPr="005D15C4">
        <w:rPr>
          <w:rFonts w:ascii="Trebuchet MS" w:hAnsi="Trebuchet MS" w:cs="Arial"/>
          <w:color w:val="000000"/>
        </w:rPr>
        <w:t xml:space="preserve">codes covers </w:t>
      </w:r>
      <w:r w:rsidR="003A5920" w:rsidRPr="005D15C4">
        <w:rPr>
          <w:rFonts w:ascii="Trebuchet MS" w:hAnsi="Trebuchet MS" w:cs="Arial"/>
          <w:color w:val="000000"/>
        </w:rPr>
        <w:t xml:space="preserve">30 minutes of </w:t>
      </w:r>
      <w:r w:rsidRPr="005D15C4">
        <w:rPr>
          <w:rFonts w:ascii="Trebuchet MS" w:hAnsi="Trebuchet MS" w:cs="Arial"/>
          <w:color w:val="000000"/>
        </w:rPr>
        <w:t>the time spent discussing advance directives with</w:t>
      </w:r>
      <w:r w:rsidR="003A5920" w:rsidRPr="005D15C4">
        <w:rPr>
          <w:rFonts w:ascii="Trebuchet MS" w:hAnsi="Trebuchet MS" w:cs="Arial"/>
          <w:color w:val="000000"/>
        </w:rPr>
        <w:t xml:space="preserve"> </w:t>
      </w:r>
      <w:r w:rsidR="00906F26" w:rsidRPr="005D15C4">
        <w:rPr>
          <w:rFonts w:ascii="Trebuchet MS" w:hAnsi="Trebuchet MS" w:cs="Arial"/>
          <w:color w:val="000000"/>
        </w:rPr>
        <w:t xml:space="preserve">the </w:t>
      </w:r>
      <w:r w:rsidR="003A5920" w:rsidRPr="005D15C4">
        <w:rPr>
          <w:rFonts w:ascii="Trebuchet MS" w:hAnsi="Trebuchet MS" w:cs="Arial"/>
          <w:color w:val="000000"/>
        </w:rPr>
        <w:t>patient, family member, and/or surrogate</w:t>
      </w:r>
      <w:r w:rsidRPr="005D15C4">
        <w:rPr>
          <w:rFonts w:ascii="Trebuchet MS" w:hAnsi="Trebuchet MS" w:cs="Arial"/>
          <w:color w:val="000000"/>
        </w:rPr>
        <w:t>.  Ot</w:t>
      </w:r>
      <w:r w:rsidR="00906F26" w:rsidRPr="005D15C4">
        <w:rPr>
          <w:rFonts w:ascii="Trebuchet MS" w:hAnsi="Trebuchet MS" w:cs="Arial"/>
          <w:color w:val="000000"/>
        </w:rPr>
        <w:t>her codes cover additional time.</w:t>
      </w:r>
    </w:p>
    <w:p w:rsidR="005D15C4" w:rsidRDefault="005D15C4" w:rsidP="00D01AF8">
      <w:pPr>
        <w:rPr>
          <w:rFonts w:ascii="Trebuchet MS" w:hAnsi="Trebuchet MS"/>
          <w:b/>
          <w:u w:val="single"/>
        </w:rPr>
      </w:pPr>
    </w:p>
    <w:p w:rsidR="00D01AF8" w:rsidRPr="005D15C4" w:rsidRDefault="00D01AF8" w:rsidP="00D01AF8">
      <w:pPr>
        <w:rPr>
          <w:rFonts w:ascii="Trebuchet MS" w:hAnsi="Trebuchet MS"/>
          <w:b/>
          <w:u w:val="single"/>
        </w:rPr>
      </w:pPr>
      <w:r w:rsidRPr="005D15C4">
        <w:rPr>
          <w:rFonts w:ascii="Trebuchet MS" w:hAnsi="Trebuchet MS"/>
          <w:b/>
          <w:u w:val="single"/>
        </w:rPr>
        <w:t>Older Americans Act</w:t>
      </w:r>
    </w:p>
    <w:p w:rsidR="00D01AF8" w:rsidRPr="005D15C4" w:rsidRDefault="00DF4010" w:rsidP="00D01AF8">
      <w:pPr>
        <w:rPr>
          <w:rFonts w:ascii="Trebuchet MS" w:hAnsi="Trebuchet MS"/>
        </w:rPr>
      </w:pPr>
      <w:r w:rsidRPr="005D15C4">
        <w:rPr>
          <w:rFonts w:ascii="Trebuchet MS" w:hAnsi="Trebuchet MS"/>
        </w:rPr>
        <w:t>In spite of grassroots and DC-based efforts by the aging network and the Leadership Council of Aging Organizations (LCAO), little progress was made during the summer toward reauthorization of the OAA.</w:t>
      </w:r>
      <w:r w:rsidR="00D01AF8" w:rsidRPr="005D15C4">
        <w:rPr>
          <w:rFonts w:ascii="Trebuchet MS" w:hAnsi="Trebuchet MS"/>
        </w:rPr>
        <w:t xml:space="preserve"> </w:t>
      </w:r>
      <w:r w:rsidR="00906F26" w:rsidRPr="005D15C4">
        <w:rPr>
          <w:rFonts w:ascii="Trebuchet MS" w:hAnsi="Trebuchet MS"/>
        </w:rPr>
        <w:t xml:space="preserve"> Advocacy groups continue their work during the current recess, but few are confident that disagreements regarding state funding allocations for the OAA will be resolved during the lame duck session.</w:t>
      </w:r>
    </w:p>
    <w:p w:rsidR="00D01AF8" w:rsidRPr="005D15C4" w:rsidRDefault="00D01AF8" w:rsidP="00D01AF8">
      <w:pPr>
        <w:rPr>
          <w:rFonts w:ascii="Trebuchet MS" w:hAnsi="Trebuchet MS"/>
          <w:u w:val="single"/>
        </w:rPr>
      </w:pPr>
    </w:p>
    <w:p w:rsidR="00906F26" w:rsidRPr="005D15C4" w:rsidRDefault="00906F26" w:rsidP="00D01AF8">
      <w:pPr>
        <w:rPr>
          <w:rFonts w:ascii="Trebuchet MS" w:hAnsi="Trebuchet MS"/>
          <w:u w:val="single"/>
        </w:rPr>
      </w:pPr>
    </w:p>
    <w:p w:rsidR="008A389E" w:rsidRPr="005D15C4" w:rsidRDefault="008A389E" w:rsidP="008A389E">
      <w:pPr>
        <w:rPr>
          <w:rFonts w:ascii="Trebuchet MS" w:hAnsi="Trebuchet MS"/>
          <w:b/>
          <w:u w:val="single"/>
        </w:rPr>
      </w:pPr>
      <w:r w:rsidRPr="005D15C4">
        <w:rPr>
          <w:rFonts w:ascii="Trebuchet MS" w:hAnsi="Trebuchet MS"/>
          <w:b/>
          <w:u w:val="single"/>
        </w:rPr>
        <w:t>White House Conference on Aging</w:t>
      </w:r>
    </w:p>
    <w:p w:rsidR="008A389E" w:rsidRPr="005D15C4" w:rsidRDefault="008A389E" w:rsidP="003A5920">
      <w:pPr>
        <w:rPr>
          <w:rFonts w:ascii="Trebuchet MS" w:hAnsi="Trebuchet MS"/>
        </w:rPr>
      </w:pPr>
      <w:r w:rsidRPr="005D15C4">
        <w:rPr>
          <w:rFonts w:ascii="Trebuchet MS" w:hAnsi="Trebuchet MS"/>
        </w:rPr>
        <w:t>Nora Super</w:t>
      </w:r>
      <w:r w:rsidR="00DF4010" w:rsidRPr="005D15C4">
        <w:rPr>
          <w:rFonts w:ascii="Trebuchet MS" w:hAnsi="Trebuchet MS"/>
        </w:rPr>
        <w:t>, the</w:t>
      </w:r>
      <w:r w:rsidRPr="005D15C4">
        <w:rPr>
          <w:rFonts w:ascii="Trebuchet MS" w:hAnsi="Trebuchet MS"/>
        </w:rPr>
        <w:t xml:space="preserve"> Executive Director of the 2015 White House Conference</w:t>
      </w:r>
      <w:r w:rsidR="00DF4010" w:rsidRPr="005D15C4">
        <w:rPr>
          <w:rFonts w:ascii="Trebuchet MS" w:hAnsi="Trebuchet MS"/>
        </w:rPr>
        <w:t xml:space="preserve">, dove right into her new role by beginning what may be a long series of “listening </w:t>
      </w:r>
      <w:r w:rsidR="00DF4010" w:rsidRPr="005D15C4">
        <w:rPr>
          <w:rFonts w:ascii="Trebuchet MS" w:hAnsi="Trebuchet MS"/>
        </w:rPr>
        <w:lastRenderedPageBreak/>
        <w:t>sessions” across the country at national conferences.</w:t>
      </w:r>
      <w:r w:rsidRPr="005D15C4">
        <w:rPr>
          <w:rFonts w:ascii="Trebuchet MS" w:hAnsi="Trebuchet MS"/>
        </w:rPr>
        <w:t xml:space="preserve"> </w:t>
      </w:r>
      <w:r w:rsidR="00906F26" w:rsidRPr="005D15C4">
        <w:rPr>
          <w:rFonts w:ascii="Trebuchet MS" w:hAnsi="Trebuchet MS"/>
        </w:rPr>
        <w:t xml:space="preserve"> Advocates await details on future regional meetings and pre-conference events focused on the four primary issue areas.</w:t>
      </w:r>
    </w:p>
    <w:p w:rsidR="008A389E" w:rsidRDefault="008A389E" w:rsidP="008A389E">
      <w:pPr>
        <w:rPr>
          <w:rFonts w:ascii="Trebuchet MS" w:hAnsi="Trebuchet MS"/>
        </w:rPr>
      </w:pPr>
    </w:p>
    <w:p w:rsidR="005D15C4" w:rsidRPr="005D15C4" w:rsidRDefault="005D15C4" w:rsidP="008A389E">
      <w:pPr>
        <w:rPr>
          <w:rFonts w:ascii="Trebuchet MS" w:hAnsi="Trebuchet MS"/>
        </w:rPr>
      </w:pPr>
    </w:p>
    <w:p w:rsidR="002968D1" w:rsidRPr="005D15C4" w:rsidRDefault="00F76E3B" w:rsidP="00316E7C">
      <w:pPr>
        <w:rPr>
          <w:rFonts w:ascii="Trebuchet MS" w:hAnsi="Trebuchet MS" w:cs="Helvetica"/>
          <w:b/>
          <w:u w:val="single"/>
        </w:rPr>
      </w:pPr>
      <w:r w:rsidRPr="005D15C4">
        <w:rPr>
          <w:rFonts w:ascii="Trebuchet MS" w:hAnsi="Trebuchet MS" w:cs="Helvetica"/>
          <w:b/>
          <w:u w:val="single"/>
        </w:rPr>
        <w:t>Elder Justice</w:t>
      </w:r>
    </w:p>
    <w:p w:rsidR="00F76E3B" w:rsidRPr="005D15C4" w:rsidRDefault="00906F26" w:rsidP="005D15C4">
      <w:pPr>
        <w:rPr>
          <w:rFonts w:ascii="Trebuchet MS" w:hAnsi="Trebuchet MS"/>
        </w:rPr>
      </w:pPr>
      <w:r w:rsidRPr="005D15C4">
        <w:rPr>
          <w:rFonts w:ascii="Trebuchet MS" w:hAnsi="Trebuchet MS"/>
          <w:color w:val="000000"/>
        </w:rPr>
        <w:t xml:space="preserve">On </w:t>
      </w:r>
      <w:r w:rsidR="00F76E3B" w:rsidRPr="005D15C4">
        <w:rPr>
          <w:rFonts w:ascii="Trebuchet MS" w:hAnsi="Trebuchet MS"/>
          <w:color w:val="000000"/>
        </w:rPr>
        <w:t xml:space="preserve">September 17, Rep. Peter King (R-NY) introduced </w:t>
      </w:r>
      <w:hyperlink r:id="rId16" w:tgtFrame="_blank" w:history="1">
        <w:r w:rsidR="00F76E3B" w:rsidRPr="005D15C4">
          <w:rPr>
            <w:rStyle w:val="Hyperlink"/>
            <w:rFonts w:ascii="Trebuchet MS" w:hAnsi="Trebuchet MS"/>
            <w:b/>
            <w:bCs/>
          </w:rPr>
          <w:t>H.R. 5515</w:t>
        </w:r>
      </w:hyperlink>
      <w:r w:rsidR="00F76E3B" w:rsidRPr="005D15C4">
        <w:rPr>
          <w:rFonts w:ascii="Trebuchet MS" w:hAnsi="Trebuchet MS"/>
          <w:color w:val="000000"/>
        </w:rPr>
        <w:t xml:space="preserve">, the Elder Justice Reauthorization Act. </w:t>
      </w:r>
      <w:r w:rsidRPr="005D15C4">
        <w:rPr>
          <w:rFonts w:ascii="Trebuchet MS" w:hAnsi="Trebuchet MS"/>
          <w:color w:val="000000"/>
        </w:rPr>
        <w:t xml:space="preserve"> </w:t>
      </w:r>
      <w:r w:rsidR="00F76E3B" w:rsidRPr="005D15C4">
        <w:rPr>
          <w:rFonts w:ascii="Trebuchet MS" w:hAnsi="Trebuchet MS"/>
          <w:color w:val="000000"/>
        </w:rPr>
        <w:t xml:space="preserve">The EJRA </w:t>
      </w:r>
      <w:r w:rsidRPr="005D15C4">
        <w:rPr>
          <w:rFonts w:ascii="Trebuchet MS" w:hAnsi="Trebuchet MS"/>
          <w:color w:val="000000"/>
        </w:rPr>
        <w:t>is a si</w:t>
      </w:r>
      <w:r w:rsidR="00F76E3B" w:rsidRPr="005D15C4">
        <w:rPr>
          <w:rFonts w:ascii="Trebuchet MS" w:hAnsi="Trebuchet MS"/>
          <w:color w:val="000000"/>
        </w:rPr>
        <w:t>mpl</w:t>
      </w:r>
      <w:r w:rsidR="00C17877">
        <w:rPr>
          <w:rFonts w:ascii="Trebuchet MS" w:hAnsi="Trebuchet MS"/>
          <w:color w:val="000000"/>
        </w:rPr>
        <w:t>e</w:t>
      </w:r>
      <w:r w:rsidR="00F76E3B" w:rsidRPr="005D15C4">
        <w:rPr>
          <w:rFonts w:ascii="Trebuchet MS" w:hAnsi="Trebuchet MS"/>
          <w:color w:val="000000"/>
        </w:rPr>
        <w:t xml:space="preserve"> reauthoriz</w:t>
      </w:r>
      <w:r w:rsidRPr="005D15C4">
        <w:rPr>
          <w:rFonts w:ascii="Trebuchet MS" w:hAnsi="Trebuchet MS"/>
          <w:color w:val="000000"/>
        </w:rPr>
        <w:t>ation of the current law</w:t>
      </w:r>
      <w:r w:rsidR="00F76E3B" w:rsidRPr="005D15C4">
        <w:rPr>
          <w:rFonts w:ascii="Trebuchet MS" w:hAnsi="Trebuchet MS"/>
          <w:color w:val="000000"/>
        </w:rPr>
        <w:t xml:space="preserve"> </w:t>
      </w:r>
      <w:r w:rsidRPr="005D15C4">
        <w:rPr>
          <w:rFonts w:ascii="Trebuchet MS" w:hAnsi="Trebuchet MS"/>
          <w:color w:val="000000"/>
        </w:rPr>
        <w:t>(</w:t>
      </w:r>
      <w:r w:rsidR="00F76E3B" w:rsidRPr="005D15C4">
        <w:rPr>
          <w:rFonts w:ascii="Trebuchet MS" w:hAnsi="Trebuchet MS"/>
          <w:color w:val="000000"/>
        </w:rPr>
        <w:t>Elder Justice Act</w:t>
      </w:r>
      <w:r w:rsidRPr="005D15C4">
        <w:rPr>
          <w:rFonts w:ascii="Trebuchet MS" w:hAnsi="Trebuchet MS"/>
          <w:color w:val="000000"/>
        </w:rPr>
        <w:t>)</w:t>
      </w:r>
      <w:r w:rsidR="00F76E3B" w:rsidRPr="005D15C4">
        <w:rPr>
          <w:rFonts w:ascii="Trebuchet MS" w:hAnsi="Trebuchet MS"/>
          <w:color w:val="000000"/>
        </w:rPr>
        <w:t xml:space="preserve"> through the end of FY 2019. It is co-sponsored by Rep</w:t>
      </w:r>
      <w:r w:rsidRPr="005D15C4">
        <w:rPr>
          <w:rFonts w:ascii="Trebuchet MS" w:hAnsi="Trebuchet MS"/>
          <w:color w:val="000000"/>
        </w:rPr>
        <w:t>resentatives</w:t>
      </w:r>
      <w:r w:rsidR="00F76E3B" w:rsidRPr="005D15C4">
        <w:rPr>
          <w:rFonts w:ascii="Trebuchet MS" w:hAnsi="Trebuchet MS"/>
          <w:color w:val="000000"/>
        </w:rPr>
        <w:t xml:space="preserve"> Tim Bishop</w:t>
      </w:r>
      <w:r w:rsidRPr="005D15C4">
        <w:rPr>
          <w:rFonts w:ascii="Trebuchet MS" w:hAnsi="Trebuchet MS"/>
          <w:color w:val="000000"/>
        </w:rPr>
        <w:t xml:space="preserve"> (D-1</w:t>
      </w:r>
      <w:r w:rsidRPr="005D15C4">
        <w:rPr>
          <w:rFonts w:ascii="Trebuchet MS" w:hAnsi="Trebuchet MS"/>
          <w:color w:val="000000"/>
          <w:vertAlign w:val="superscript"/>
        </w:rPr>
        <w:t>st</w:t>
      </w:r>
      <w:r w:rsidRPr="005D15C4">
        <w:rPr>
          <w:rFonts w:ascii="Trebuchet MS" w:hAnsi="Trebuchet MS"/>
          <w:color w:val="000000"/>
        </w:rPr>
        <w:t>-NY)</w:t>
      </w:r>
      <w:r w:rsidR="00F76E3B" w:rsidRPr="005D15C4">
        <w:rPr>
          <w:rFonts w:ascii="Trebuchet MS" w:hAnsi="Trebuchet MS"/>
          <w:color w:val="000000"/>
        </w:rPr>
        <w:t>,</w:t>
      </w:r>
      <w:r w:rsidRPr="005D15C4">
        <w:rPr>
          <w:rFonts w:ascii="Trebuchet MS" w:hAnsi="Trebuchet MS"/>
          <w:color w:val="000000"/>
        </w:rPr>
        <w:t xml:space="preserve"> Earl Blumenauer (D-3-OR), Steve Cohen (</w:t>
      </w:r>
      <w:r w:rsidR="005D15C4" w:rsidRPr="005D15C4">
        <w:rPr>
          <w:rFonts w:ascii="Trebuchet MS" w:hAnsi="Trebuchet MS"/>
          <w:color w:val="000000"/>
        </w:rPr>
        <w:t>D-9</w:t>
      </w:r>
      <w:r w:rsidR="005D15C4" w:rsidRPr="005D15C4">
        <w:rPr>
          <w:rFonts w:ascii="Trebuchet MS" w:hAnsi="Trebuchet MS"/>
          <w:color w:val="000000"/>
          <w:vertAlign w:val="superscript"/>
        </w:rPr>
        <w:t>th</w:t>
      </w:r>
      <w:r w:rsidR="005D15C4" w:rsidRPr="005D15C4">
        <w:rPr>
          <w:rFonts w:ascii="Trebuchet MS" w:hAnsi="Trebuchet MS"/>
          <w:color w:val="000000"/>
        </w:rPr>
        <w:t>-TN),</w:t>
      </w:r>
      <w:r w:rsidR="00F76E3B" w:rsidRPr="005D15C4">
        <w:rPr>
          <w:rFonts w:ascii="Trebuchet MS" w:hAnsi="Trebuchet MS"/>
          <w:color w:val="000000"/>
        </w:rPr>
        <w:t xml:space="preserve"> Alan Grayson</w:t>
      </w:r>
      <w:r w:rsidR="005D15C4" w:rsidRPr="005D15C4">
        <w:rPr>
          <w:rFonts w:ascii="Trebuchet MS" w:hAnsi="Trebuchet MS"/>
          <w:color w:val="000000"/>
        </w:rPr>
        <w:t xml:space="preserve"> (D-9</w:t>
      </w:r>
      <w:r w:rsidR="005D15C4" w:rsidRPr="005D15C4">
        <w:rPr>
          <w:rFonts w:ascii="Trebuchet MS" w:hAnsi="Trebuchet MS"/>
          <w:color w:val="000000"/>
          <w:vertAlign w:val="superscript"/>
        </w:rPr>
        <w:t>th</w:t>
      </w:r>
      <w:r w:rsidR="005D15C4" w:rsidRPr="005D15C4">
        <w:rPr>
          <w:rFonts w:ascii="Trebuchet MS" w:hAnsi="Trebuchet MS"/>
          <w:color w:val="000000"/>
        </w:rPr>
        <w:t>-FL),</w:t>
      </w:r>
      <w:r w:rsidR="00F76E3B" w:rsidRPr="005D15C4">
        <w:rPr>
          <w:rFonts w:ascii="Trebuchet MS" w:hAnsi="Trebuchet MS"/>
          <w:color w:val="000000"/>
        </w:rPr>
        <w:t xml:space="preserve"> </w:t>
      </w:r>
      <w:r w:rsidR="005D15C4" w:rsidRPr="005D15C4">
        <w:rPr>
          <w:rFonts w:ascii="Trebuchet MS" w:hAnsi="Trebuchet MS"/>
          <w:color w:val="000000"/>
        </w:rPr>
        <w:t xml:space="preserve">Raul </w:t>
      </w:r>
      <w:proofErr w:type="spellStart"/>
      <w:r w:rsidR="005D15C4" w:rsidRPr="005D15C4">
        <w:rPr>
          <w:rFonts w:ascii="Trebuchet MS" w:hAnsi="Trebuchet MS"/>
          <w:color w:val="000000"/>
        </w:rPr>
        <w:t>Grijalva</w:t>
      </w:r>
      <w:proofErr w:type="spellEnd"/>
      <w:r w:rsidR="005D15C4" w:rsidRPr="005D15C4">
        <w:rPr>
          <w:rFonts w:ascii="Trebuchet MS" w:hAnsi="Trebuchet MS"/>
          <w:color w:val="000000"/>
        </w:rPr>
        <w:t xml:space="preserve"> ((D-3</w:t>
      </w:r>
      <w:r w:rsidR="005D15C4" w:rsidRPr="005D15C4">
        <w:rPr>
          <w:rFonts w:ascii="Trebuchet MS" w:hAnsi="Trebuchet MS"/>
          <w:color w:val="000000"/>
          <w:vertAlign w:val="superscript"/>
        </w:rPr>
        <w:t>rd</w:t>
      </w:r>
      <w:r w:rsidR="005D15C4" w:rsidRPr="005D15C4">
        <w:rPr>
          <w:rFonts w:ascii="Trebuchet MS" w:hAnsi="Trebuchet MS"/>
          <w:color w:val="000000"/>
        </w:rPr>
        <w:t>-AZ), Mike Honda (D-17</w:t>
      </w:r>
      <w:r w:rsidR="005D15C4" w:rsidRPr="005D15C4">
        <w:rPr>
          <w:rFonts w:ascii="Trebuchet MS" w:hAnsi="Trebuchet MS"/>
          <w:color w:val="000000"/>
          <w:vertAlign w:val="superscript"/>
        </w:rPr>
        <w:t>th</w:t>
      </w:r>
      <w:r w:rsidR="005D15C4" w:rsidRPr="005D15C4">
        <w:rPr>
          <w:rFonts w:ascii="Trebuchet MS" w:hAnsi="Trebuchet MS"/>
          <w:color w:val="000000"/>
        </w:rPr>
        <w:t xml:space="preserve">-CA), </w:t>
      </w:r>
      <w:r w:rsidR="00F76E3B" w:rsidRPr="005D15C4">
        <w:rPr>
          <w:rFonts w:ascii="Trebuchet MS" w:hAnsi="Trebuchet MS"/>
          <w:color w:val="000000"/>
        </w:rPr>
        <w:t>Marcy Kaptur</w:t>
      </w:r>
      <w:r w:rsidR="005D15C4" w:rsidRPr="005D15C4">
        <w:rPr>
          <w:rFonts w:ascii="Trebuchet MS" w:hAnsi="Trebuchet MS"/>
          <w:color w:val="000000"/>
        </w:rPr>
        <w:t xml:space="preserve"> (D-9</w:t>
      </w:r>
      <w:r w:rsidR="005D15C4" w:rsidRPr="005D15C4">
        <w:rPr>
          <w:rFonts w:ascii="Trebuchet MS" w:hAnsi="Trebuchet MS"/>
          <w:color w:val="000000"/>
          <w:vertAlign w:val="superscript"/>
        </w:rPr>
        <w:t>th</w:t>
      </w:r>
      <w:r w:rsidR="005D15C4" w:rsidRPr="005D15C4">
        <w:rPr>
          <w:rFonts w:ascii="Trebuchet MS" w:hAnsi="Trebuchet MS"/>
          <w:color w:val="000000"/>
        </w:rPr>
        <w:t>-OH)</w:t>
      </w:r>
      <w:r w:rsidR="00F76E3B" w:rsidRPr="005D15C4">
        <w:rPr>
          <w:rFonts w:ascii="Trebuchet MS" w:hAnsi="Trebuchet MS"/>
          <w:color w:val="000000"/>
        </w:rPr>
        <w:t>, Michelle Lujan Grisham</w:t>
      </w:r>
      <w:r w:rsidR="005D15C4" w:rsidRPr="005D15C4">
        <w:rPr>
          <w:rFonts w:ascii="Trebuchet MS" w:hAnsi="Trebuchet MS"/>
          <w:color w:val="000000"/>
        </w:rPr>
        <w:t xml:space="preserve"> (D-1</w:t>
      </w:r>
      <w:r w:rsidR="005D15C4" w:rsidRPr="005D15C4">
        <w:rPr>
          <w:rFonts w:ascii="Trebuchet MS" w:hAnsi="Trebuchet MS"/>
          <w:color w:val="000000"/>
          <w:vertAlign w:val="superscript"/>
        </w:rPr>
        <w:t>st</w:t>
      </w:r>
      <w:r w:rsidR="005D15C4" w:rsidRPr="005D15C4">
        <w:rPr>
          <w:rFonts w:ascii="Trebuchet MS" w:hAnsi="Trebuchet MS"/>
          <w:color w:val="000000"/>
        </w:rPr>
        <w:t xml:space="preserve"> NM), and Jan Schakowsky (D-9</w:t>
      </w:r>
      <w:r w:rsidR="005D15C4" w:rsidRPr="005D15C4">
        <w:rPr>
          <w:rFonts w:ascii="Trebuchet MS" w:hAnsi="Trebuchet MS"/>
          <w:color w:val="000000"/>
          <w:vertAlign w:val="superscript"/>
        </w:rPr>
        <w:t>th</w:t>
      </w:r>
      <w:r w:rsidR="005D15C4" w:rsidRPr="005D15C4">
        <w:rPr>
          <w:rFonts w:ascii="Trebuchet MS" w:hAnsi="Trebuchet MS"/>
          <w:color w:val="000000"/>
        </w:rPr>
        <w:t>-IL)</w:t>
      </w:r>
      <w:r w:rsidR="00F76E3B" w:rsidRPr="005D15C4">
        <w:rPr>
          <w:rFonts w:ascii="Trebuchet MS" w:hAnsi="Trebuchet MS"/>
          <w:color w:val="000000"/>
        </w:rPr>
        <w:t xml:space="preserve">. </w:t>
      </w:r>
      <w:r w:rsidR="005D15C4" w:rsidRPr="005D15C4">
        <w:rPr>
          <w:rFonts w:ascii="Trebuchet MS" w:hAnsi="Trebuchet MS"/>
          <w:color w:val="000000"/>
        </w:rPr>
        <w:t>The bill was r</w:t>
      </w:r>
      <w:r w:rsidR="00F76E3B" w:rsidRPr="005D15C4">
        <w:rPr>
          <w:rFonts w:ascii="Trebuchet MS" w:hAnsi="Trebuchet MS"/>
          <w:color w:val="000000"/>
        </w:rPr>
        <w:t>eferred to the Ways and Means Committee, the Judiciary Committee, the Education and Workforce Committee and the Energy and Commerce Committee. </w:t>
      </w:r>
      <w:r w:rsidR="00F76E3B" w:rsidRPr="005D15C4">
        <w:rPr>
          <w:rFonts w:ascii="Trebuchet MS" w:hAnsi="Trebuchet MS"/>
        </w:rPr>
        <w:t xml:space="preserve"> </w:t>
      </w:r>
    </w:p>
    <w:p w:rsidR="00BA7B9E" w:rsidRPr="005D15C4" w:rsidRDefault="00BA7B9E" w:rsidP="00BA7B9E">
      <w:pPr>
        <w:shd w:val="clear" w:color="auto" w:fill="FFFFFF"/>
        <w:rPr>
          <w:rFonts w:ascii="Trebuchet MS" w:hAnsi="Trebuchet MS"/>
        </w:rPr>
      </w:pPr>
    </w:p>
    <w:p w:rsidR="00D642EA" w:rsidRPr="005D15C4" w:rsidRDefault="00D642EA" w:rsidP="00D642EA">
      <w:pPr>
        <w:pStyle w:val="NormalWeb"/>
        <w:spacing w:before="0" w:beforeAutospacing="0" w:after="0" w:afterAutospacing="0"/>
        <w:rPr>
          <w:rFonts w:ascii="Trebuchet MS" w:hAnsi="Trebuchet MS"/>
          <w:color w:val="000000"/>
        </w:rPr>
      </w:pPr>
      <w:r w:rsidRPr="005D15C4">
        <w:rPr>
          <w:rFonts w:ascii="Trebuchet MS" w:hAnsi="Trebuchet MS"/>
          <w:color w:val="000000"/>
        </w:rPr>
        <w:t xml:space="preserve">The U.S. Department of Justice (DOJ) </w:t>
      </w:r>
      <w:r w:rsidR="005D15C4" w:rsidRPr="005D15C4">
        <w:rPr>
          <w:rFonts w:ascii="Trebuchet MS" w:hAnsi="Trebuchet MS"/>
          <w:color w:val="000000"/>
        </w:rPr>
        <w:t xml:space="preserve">has </w:t>
      </w:r>
      <w:r w:rsidRPr="005D15C4">
        <w:rPr>
          <w:rFonts w:ascii="Trebuchet MS" w:hAnsi="Trebuchet MS"/>
          <w:color w:val="000000"/>
        </w:rPr>
        <w:t xml:space="preserve">launched </w:t>
      </w:r>
      <w:r w:rsidR="005D15C4" w:rsidRPr="005D15C4">
        <w:rPr>
          <w:rFonts w:ascii="Trebuchet MS" w:hAnsi="Trebuchet MS"/>
          <w:color w:val="000000"/>
        </w:rPr>
        <w:t xml:space="preserve">an elder justice </w:t>
      </w:r>
      <w:r w:rsidRPr="005D15C4">
        <w:rPr>
          <w:rFonts w:ascii="Trebuchet MS" w:hAnsi="Trebuchet MS"/>
          <w:color w:val="000000"/>
        </w:rPr>
        <w:t>website. </w:t>
      </w:r>
      <w:r w:rsidR="005D15C4" w:rsidRPr="005D15C4">
        <w:rPr>
          <w:rFonts w:ascii="Trebuchet MS" w:hAnsi="Trebuchet MS"/>
          <w:color w:val="000000"/>
        </w:rPr>
        <w:t xml:space="preserve"> </w:t>
      </w:r>
      <w:r w:rsidRPr="005D15C4">
        <w:rPr>
          <w:rFonts w:ascii="Trebuchet MS" w:hAnsi="Trebuchet MS"/>
          <w:color w:val="000000"/>
        </w:rPr>
        <w:t xml:space="preserve">The </w:t>
      </w:r>
      <w:hyperlink r:id="rId17" w:tgtFrame="_blank" w:history="1">
        <w:r w:rsidRPr="005D15C4">
          <w:rPr>
            <w:rStyle w:val="Hyperlink"/>
            <w:rFonts w:ascii="Trebuchet MS" w:hAnsi="Trebuchet MS"/>
          </w:rPr>
          <w:t>site</w:t>
        </w:r>
      </w:hyperlink>
      <w:r w:rsidRPr="005D15C4">
        <w:rPr>
          <w:rFonts w:ascii="Trebuchet MS" w:hAnsi="Trebuchet MS"/>
          <w:color w:val="000000"/>
        </w:rPr>
        <w:t xml:space="preserve"> </w:t>
      </w:r>
      <w:r w:rsidR="005D15C4" w:rsidRPr="005D15C4">
        <w:rPr>
          <w:rFonts w:ascii="Trebuchet MS" w:hAnsi="Trebuchet MS"/>
          <w:color w:val="000000"/>
        </w:rPr>
        <w:t xml:space="preserve">is designed to provide information to </w:t>
      </w:r>
      <w:r w:rsidRPr="005D15C4">
        <w:rPr>
          <w:rFonts w:ascii="Trebuchet MS" w:hAnsi="Trebuchet MS"/>
          <w:color w:val="000000"/>
        </w:rPr>
        <w:t xml:space="preserve">victims, family members, prosecutors, researchers, and </w:t>
      </w:r>
      <w:r w:rsidR="005D15C4" w:rsidRPr="005D15C4">
        <w:rPr>
          <w:rFonts w:ascii="Trebuchet MS" w:hAnsi="Trebuchet MS"/>
          <w:color w:val="000000"/>
        </w:rPr>
        <w:t>service providers.</w:t>
      </w:r>
    </w:p>
    <w:p w:rsidR="000947BD" w:rsidRPr="005D15C4" w:rsidRDefault="000947BD" w:rsidP="00D642EA">
      <w:pPr>
        <w:rPr>
          <w:rFonts w:ascii="Trebuchet MS" w:hAnsi="Trebuchet MS"/>
          <w:color w:val="000000"/>
        </w:rPr>
      </w:pPr>
    </w:p>
    <w:p w:rsidR="000947BD" w:rsidRPr="005D15C4" w:rsidRDefault="000947BD" w:rsidP="000947BD">
      <w:pPr>
        <w:rPr>
          <w:rFonts w:ascii="Trebuchet MS" w:hAnsi="Trebuchet MS" w:cs="Arial"/>
          <w:bCs/>
        </w:rPr>
      </w:pPr>
    </w:p>
    <w:sectPr w:rsidR="000947BD" w:rsidRPr="005D15C4" w:rsidSect="001D0168">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CF" w:rsidRDefault="007D35CF">
      <w:r>
        <w:separator/>
      </w:r>
    </w:p>
  </w:endnote>
  <w:endnote w:type="continuationSeparator" w:id="0">
    <w:p w:rsidR="007D35CF" w:rsidRDefault="007D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F0" w:rsidRDefault="00806655">
    <w:pPr>
      <w:pStyle w:val="Footer"/>
      <w:jc w:val="center"/>
    </w:pPr>
    <w:r>
      <w:fldChar w:fldCharType="begin"/>
    </w:r>
    <w:r>
      <w:instrText xml:space="preserve"> PAGE   \* MERGEFORMAT </w:instrText>
    </w:r>
    <w:r>
      <w:fldChar w:fldCharType="separate"/>
    </w:r>
    <w:r w:rsidR="00074C66">
      <w:rPr>
        <w:noProof/>
      </w:rPr>
      <w:t>1</w:t>
    </w:r>
    <w:r>
      <w:rPr>
        <w:noProof/>
      </w:rPr>
      <w:fldChar w:fldCharType="end"/>
    </w:r>
  </w:p>
  <w:p w:rsidR="00E808F0" w:rsidRDefault="00074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CF" w:rsidRDefault="007D35CF">
      <w:r>
        <w:separator/>
      </w:r>
    </w:p>
  </w:footnote>
  <w:footnote w:type="continuationSeparator" w:id="0">
    <w:p w:rsidR="007D35CF" w:rsidRDefault="007D3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DB3"/>
    <w:multiLevelType w:val="hybridMultilevel"/>
    <w:tmpl w:val="FCF01CE8"/>
    <w:lvl w:ilvl="0" w:tplc="5C8E3E4C">
      <w:start w:val="1"/>
      <w:numFmt w:val="bullet"/>
      <w:lvlText w:val="-"/>
      <w:lvlJc w:val="left"/>
      <w:pPr>
        <w:ind w:left="720" w:hanging="360"/>
      </w:pPr>
      <w:rPr>
        <w:rFonts w:ascii="Helvetica" w:eastAsia="Times New Roman" w:hAnsi="Helvetica" w:cs="Helvetica"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3F3AAB"/>
    <w:multiLevelType w:val="hybridMultilevel"/>
    <w:tmpl w:val="30E04E60"/>
    <w:lvl w:ilvl="0" w:tplc="24D2E2C4">
      <w:start w:val="1"/>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D35D5A"/>
    <w:multiLevelType w:val="hybridMultilevel"/>
    <w:tmpl w:val="2D7C5958"/>
    <w:lvl w:ilvl="0" w:tplc="24D2E2C4">
      <w:start w:val="1"/>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5F42F7"/>
    <w:multiLevelType w:val="hybridMultilevel"/>
    <w:tmpl w:val="9462059C"/>
    <w:lvl w:ilvl="0" w:tplc="24D2E2C4">
      <w:start w:val="1"/>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C7534AD"/>
    <w:multiLevelType w:val="hybridMultilevel"/>
    <w:tmpl w:val="414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E0EAC"/>
    <w:multiLevelType w:val="multilevel"/>
    <w:tmpl w:val="0F2A0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9E"/>
    <w:rsid w:val="0001571B"/>
    <w:rsid w:val="000573AF"/>
    <w:rsid w:val="00074C66"/>
    <w:rsid w:val="00090692"/>
    <w:rsid w:val="000947BD"/>
    <w:rsid w:val="001D787D"/>
    <w:rsid w:val="002968D1"/>
    <w:rsid w:val="002C1F5B"/>
    <w:rsid w:val="002E213B"/>
    <w:rsid w:val="00316E7C"/>
    <w:rsid w:val="003565CE"/>
    <w:rsid w:val="003A5920"/>
    <w:rsid w:val="003C4D62"/>
    <w:rsid w:val="004864ED"/>
    <w:rsid w:val="004C1D17"/>
    <w:rsid w:val="00537179"/>
    <w:rsid w:val="00553F57"/>
    <w:rsid w:val="005D15C4"/>
    <w:rsid w:val="005E5F93"/>
    <w:rsid w:val="00615A7A"/>
    <w:rsid w:val="0069425B"/>
    <w:rsid w:val="007020C3"/>
    <w:rsid w:val="007D35CF"/>
    <w:rsid w:val="00803E71"/>
    <w:rsid w:val="00806655"/>
    <w:rsid w:val="00835289"/>
    <w:rsid w:val="008A389E"/>
    <w:rsid w:val="00906F26"/>
    <w:rsid w:val="00AA558C"/>
    <w:rsid w:val="00BA7B9E"/>
    <w:rsid w:val="00BC1A80"/>
    <w:rsid w:val="00C17877"/>
    <w:rsid w:val="00D01AF8"/>
    <w:rsid w:val="00D05415"/>
    <w:rsid w:val="00D642EA"/>
    <w:rsid w:val="00D66B06"/>
    <w:rsid w:val="00DB15BA"/>
    <w:rsid w:val="00DC5103"/>
    <w:rsid w:val="00DF4010"/>
    <w:rsid w:val="00E000B1"/>
    <w:rsid w:val="00E05E5C"/>
    <w:rsid w:val="00F15FF6"/>
    <w:rsid w:val="00F76E3B"/>
    <w:rsid w:val="00FF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9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389E"/>
    <w:rPr>
      <w:rFonts w:ascii="Times New Roman" w:hAnsi="Times New Roman" w:cs="Times New Roman"/>
      <w:color w:val="0000FF"/>
      <w:u w:val="single"/>
    </w:rPr>
  </w:style>
  <w:style w:type="paragraph" w:styleId="NormalWeb">
    <w:name w:val="Normal (Web)"/>
    <w:basedOn w:val="Normal"/>
    <w:uiPriority w:val="99"/>
    <w:semiHidden/>
    <w:rsid w:val="008A389E"/>
    <w:pPr>
      <w:spacing w:before="100" w:beforeAutospacing="1" w:after="100" w:afterAutospacing="1"/>
    </w:pPr>
  </w:style>
  <w:style w:type="paragraph" w:styleId="Footer">
    <w:name w:val="footer"/>
    <w:basedOn w:val="Normal"/>
    <w:link w:val="FooterChar"/>
    <w:uiPriority w:val="99"/>
    <w:rsid w:val="008A389E"/>
    <w:pPr>
      <w:tabs>
        <w:tab w:val="center" w:pos="4680"/>
        <w:tab w:val="right" w:pos="9360"/>
      </w:tabs>
    </w:pPr>
  </w:style>
  <w:style w:type="character" w:customStyle="1" w:styleId="FooterChar">
    <w:name w:val="Footer Char"/>
    <w:basedOn w:val="DefaultParagraphFont"/>
    <w:link w:val="Footer"/>
    <w:uiPriority w:val="99"/>
    <w:rsid w:val="008A389E"/>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D01AF8"/>
    <w:rPr>
      <w:rFonts w:ascii="Tahoma" w:hAnsi="Tahoma" w:cs="Tahoma"/>
      <w:sz w:val="16"/>
      <w:szCs w:val="16"/>
    </w:rPr>
  </w:style>
  <w:style w:type="character" w:customStyle="1" w:styleId="BalloonTextChar">
    <w:name w:val="Balloon Text Char"/>
    <w:basedOn w:val="DefaultParagraphFont"/>
    <w:link w:val="BalloonText"/>
    <w:uiPriority w:val="99"/>
    <w:semiHidden/>
    <w:rsid w:val="00D01AF8"/>
    <w:rPr>
      <w:rFonts w:ascii="Tahoma" w:eastAsia="MS Mincho" w:hAnsi="Tahoma" w:cs="Tahoma"/>
      <w:sz w:val="16"/>
      <w:szCs w:val="16"/>
      <w:lang w:eastAsia="ja-JP"/>
    </w:rPr>
  </w:style>
  <w:style w:type="paragraph" w:styleId="ListParagraph">
    <w:name w:val="List Paragraph"/>
    <w:basedOn w:val="Normal"/>
    <w:uiPriority w:val="34"/>
    <w:qFormat/>
    <w:rsid w:val="002E213B"/>
    <w:pPr>
      <w:spacing w:after="160" w:line="252" w:lineRule="auto"/>
      <w:ind w:left="720"/>
      <w:contextualSpacing/>
    </w:pPr>
    <w:rPr>
      <w:rFonts w:ascii="Calibri" w:eastAsiaTheme="minorHAnsi" w:hAnsi="Calibri"/>
      <w:sz w:val="22"/>
      <w:szCs w:val="22"/>
      <w:lang w:eastAsia="en-US"/>
    </w:rPr>
  </w:style>
  <w:style w:type="character" w:styleId="Emphasis">
    <w:name w:val="Emphasis"/>
    <w:basedOn w:val="DefaultParagraphFont"/>
    <w:uiPriority w:val="20"/>
    <w:qFormat/>
    <w:rsid w:val="00E05E5C"/>
    <w:rPr>
      <w:i/>
      <w:iCs/>
    </w:rPr>
  </w:style>
  <w:style w:type="character" w:styleId="Strong">
    <w:name w:val="Strong"/>
    <w:basedOn w:val="DefaultParagraphFont"/>
    <w:uiPriority w:val="22"/>
    <w:qFormat/>
    <w:rsid w:val="00D642EA"/>
    <w:rPr>
      <w:b/>
      <w:bCs/>
    </w:rPr>
  </w:style>
  <w:style w:type="character" w:styleId="FollowedHyperlink">
    <w:name w:val="FollowedHyperlink"/>
    <w:basedOn w:val="DefaultParagraphFont"/>
    <w:uiPriority w:val="99"/>
    <w:semiHidden/>
    <w:unhideWhenUsed/>
    <w:rsid w:val="004C1D17"/>
    <w:rPr>
      <w:color w:val="800080" w:themeColor="followedHyperlink"/>
      <w:u w:val="single"/>
    </w:rPr>
  </w:style>
  <w:style w:type="character" w:styleId="CommentReference">
    <w:name w:val="annotation reference"/>
    <w:basedOn w:val="DefaultParagraphFont"/>
    <w:uiPriority w:val="99"/>
    <w:semiHidden/>
    <w:unhideWhenUsed/>
    <w:rsid w:val="005E5F93"/>
    <w:rPr>
      <w:sz w:val="16"/>
      <w:szCs w:val="16"/>
    </w:rPr>
  </w:style>
  <w:style w:type="paragraph" w:styleId="CommentText">
    <w:name w:val="annotation text"/>
    <w:basedOn w:val="Normal"/>
    <w:link w:val="CommentTextChar"/>
    <w:uiPriority w:val="99"/>
    <w:semiHidden/>
    <w:unhideWhenUsed/>
    <w:rsid w:val="005E5F93"/>
    <w:rPr>
      <w:sz w:val="20"/>
      <w:szCs w:val="20"/>
    </w:rPr>
  </w:style>
  <w:style w:type="character" w:customStyle="1" w:styleId="CommentTextChar">
    <w:name w:val="Comment Text Char"/>
    <w:basedOn w:val="DefaultParagraphFont"/>
    <w:link w:val="CommentText"/>
    <w:uiPriority w:val="99"/>
    <w:semiHidden/>
    <w:rsid w:val="005E5F93"/>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5E5F93"/>
    <w:rPr>
      <w:b/>
      <w:bCs/>
    </w:rPr>
  </w:style>
  <w:style w:type="character" w:customStyle="1" w:styleId="CommentSubjectChar">
    <w:name w:val="Comment Subject Char"/>
    <w:basedOn w:val="CommentTextChar"/>
    <w:link w:val="CommentSubject"/>
    <w:uiPriority w:val="99"/>
    <w:semiHidden/>
    <w:rsid w:val="005E5F93"/>
    <w:rPr>
      <w:rFonts w:ascii="Times New Roman" w:eastAsia="MS Mincho" w:hAnsi="Times New Roman"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9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389E"/>
    <w:rPr>
      <w:rFonts w:ascii="Times New Roman" w:hAnsi="Times New Roman" w:cs="Times New Roman"/>
      <w:color w:val="0000FF"/>
      <w:u w:val="single"/>
    </w:rPr>
  </w:style>
  <w:style w:type="paragraph" w:styleId="NormalWeb">
    <w:name w:val="Normal (Web)"/>
    <w:basedOn w:val="Normal"/>
    <w:uiPriority w:val="99"/>
    <w:semiHidden/>
    <w:rsid w:val="008A389E"/>
    <w:pPr>
      <w:spacing w:before="100" w:beforeAutospacing="1" w:after="100" w:afterAutospacing="1"/>
    </w:pPr>
  </w:style>
  <w:style w:type="paragraph" w:styleId="Footer">
    <w:name w:val="footer"/>
    <w:basedOn w:val="Normal"/>
    <w:link w:val="FooterChar"/>
    <w:uiPriority w:val="99"/>
    <w:rsid w:val="008A389E"/>
    <w:pPr>
      <w:tabs>
        <w:tab w:val="center" w:pos="4680"/>
        <w:tab w:val="right" w:pos="9360"/>
      </w:tabs>
    </w:pPr>
  </w:style>
  <w:style w:type="character" w:customStyle="1" w:styleId="FooterChar">
    <w:name w:val="Footer Char"/>
    <w:basedOn w:val="DefaultParagraphFont"/>
    <w:link w:val="Footer"/>
    <w:uiPriority w:val="99"/>
    <w:rsid w:val="008A389E"/>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D01AF8"/>
    <w:rPr>
      <w:rFonts w:ascii="Tahoma" w:hAnsi="Tahoma" w:cs="Tahoma"/>
      <w:sz w:val="16"/>
      <w:szCs w:val="16"/>
    </w:rPr>
  </w:style>
  <w:style w:type="character" w:customStyle="1" w:styleId="BalloonTextChar">
    <w:name w:val="Balloon Text Char"/>
    <w:basedOn w:val="DefaultParagraphFont"/>
    <w:link w:val="BalloonText"/>
    <w:uiPriority w:val="99"/>
    <w:semiHidden/>
    <w:rsid w:val="00D01AF8"/>
    <w:rPr>
      <w:rFonts w:ascii="Tahoma" w:eastAsia="MS Mincho" w:hAnsi="Tahoma" w:cs="Tahoma"/>
      <w:sz w:val="16"/>
      <w:szCs w:val="16"/>
      <w:lang w:eastAsia="ja-JP"/>
    </w:rPr>
  </w:style>
  <w:style w:type="paragraph" w:styleId="ListParagraph">
    <w:name w:val="List Paragraph"/>
    <w:basedOn w:val="Normal"/>
    <w:uiPriority w:val="34"/>
    <w:qFormat/>
    <w:rsid w:val="002E213B"/>
    <w:pPr>
      <w:spacing w:after="160" w:line="252" w:lineRule="auto"/>
      <w:ind w:left="720"/>
      <w:contextualSpacing/>
    </w:pPr>
    <w:rPr>
      <w:rFonts w:ascii="Calibri" w:eastAsiaTheme="minorHAnsi" w:hAnsi="Calibri"/>
      <w:sz w:val="22"/>
      <w:szCs w:val="22"/>
      <w:lang w:eastAsia="en-US"/>
    </w:rPr>
  </w:style>
  <w:style w:type="character" w:styleId="Emphasis">
    <w:name w:val="Emphasis"/>
    <w:basedOn w:val="DefaultParagraphFont"/>
    <w:uiPriority w:val="20"/>
    <w:qFormat/>
    <w:rsid w:val="00E05E5C"/>
    <w:rPr>
      <w:i/>
      <w:iCs/>
    </w:rPr>
  </w:style>
  <w:style w:type="character" w:styleId="Strong">
    <w:name w:val="Strong"/>
    <w:basedOn w:val="DefaultParagraphFont"/>
    <w:uiPriority w:val="22"/>
    <w:qFormat/>
    <w:rsid w:val="00D642EA"/>
    <w:rPr>
      <w:b/>
      <w:bCs/>
    </w:rPr>
  </w:style>
  <w:style w:type="character" w:styleId="FollowedHyperlink">
    <w:name w:val="FollowedHyperlink"/>
    <w:basedOn w:val="DefaultParagraphFont"/>
    <w:uiPriority w:val="99"/>
    <w:semiHidden/>
    <w:unhideWhenUsed/>
    <w:rsid w:val="004C1D17"/>
    <w:rPr>
      <w:color w:val="800080" w:themeColor="followedHyperlink"/>
      <w:u w:val="single"/>
    </w:rPr>
  </w:style>
  <w:style w:type="character" w:styleId="CommentReference">
    <w:name w:val="annotation reference"/>
    <w:basedOn w:val="DefaultParagraphFont"/>
    <w:uiPriority w:val="99"/>
    <w:semiHidden/>
    <w:unhideWhenUsed/>
    <w:rsid w:val="005E5F93"/>
    <w:rPr>
      <w:sz w:val="16"/>
      <w:szCs w:val="16"/>
    </w:rPr>
  </w:style>
  <w:style w:type="paragraph" w:styleId="CommentText">
    <w:name w:val="annotation text"/>
    <w:basedOn w:val="Normal"/>
    <w:link w:val="CommentTextChar"/>
    <w:uiPriority w:val="99"/>
    <w:semiHidden/>
    <w:unhideWhenUsed/>
    <w:rsid w:val="005E5F93"/>
    <w:rPr>
      <w:sz w:val="20"/>
      <w:szCs w:val="20"/>
    </w:rPr>
  </w:style>
  <w:style w:type="character" w:customStyle="1" w:styleId="CommentTextChar">
    <w:name w:val="Comment Text Char"/>
    <w:basedOn w:val="DefaultParagraphFont"/>
    <w:link w:val="CommentText"/>
    <w:uiPriority w:val="99"/>
    <w:semiHidden/>
    <w:rsid w:val="005E5F93"/>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5E5F93"/>
    <w:rPr>
      <w:b/>
      <w:bCs/>
    </w:rPr>
  </w:style>
  <w:style w:type="character" w:customStyle="1" w:styleId="CommentSubjectChar">
    <w:name w:val="Comment Subject Char"/>
    <w:basedOn w:val="CommentTextChar"/>
    <w:link w:val="CommentSubject"/>
    <w:uiPriority w:val="99"/>
    <w:semiHidden/>
    <w:rsid w:val="005E5F93"/>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6251">
      <w:bodyDiv w:val="1"/>
      <w:marLeft w:val="0"/>
      <w:marRight w:val="0"/>
      <w:marTop w:val="0"/>
      <w:marBottom w:val="0"/>
      <w:divBdr>
        <w:top w:val="none" w:sz="0" w:space="0" w:color="auto"/>
        <w:left w:val="none" w:sz="0" w:space="0" w:color="auto"/>
        <w:bottom w:val="none" w:sz="0" w:space="0" w:color="auto"/>
        <w:right w:val="none" w:sz="0" w:space="0" w:color="auto"/>
      </w:divBdr>
    </w:div>
    <w:div w:id="280578891">
      <w:bodyDiv w:val="1"/>
      <w:marLeft w:val="0"/>
      <w:marRight w:val="0"/>
      <w:marTop w:val="0"/>
      <w:marBottom w:val="0"/>
      <w:divBdr>
        <w:top w:val="none" w:sz="0" w:space="0" w:color="auto"/>
        <w:left w:val="none" w:sz="0" w:space="0" w:color="auto"/>
        <w:bottom w:val="none" w:sz="0" w:space="0" w:color="auto"/>
        <w:right w:val="none" w:sz="0" w:space="0" w:color="auto"/>
      </w:divBdr>
    </w:div>
    <w:div w:id="522330267">
      <w:bodyDiv w:val="1"/>
      <w:marLeft w:val="0"/>
      <w:marRight w:val="0"/>
      <w:marTop w:val="0"/>
      <w:marBottom w:val="0"/>
      <w:divBdr>
        <w:top w:val="none" w:sz="0" w:space="0" w:color="auto"/>
        <w:left w:val="none" w:sz="0" w:space="0" w:color="auto"/>
        <w:bottom w:val="none" w:sz="0" w:space="0" w:color="auto"/>
        <w:right w:val="none" w:sz="0" w:space="0" w:color="auto"/>
      </w:divBdr>
    </w:div>
    <w:div w:id="1074594091">
      <w:bodyDiv w:val="1"/>
      <w:marLeft w:val="0"/>
      <w:marRight w:val="0"/>
      <w:marTop w:val="0"/>
      <w:marBottom w:val="0"/>
      <w:divBdr>
        <w:top w:val="none" w:sz="0" w:space="0" w:color="auto"/>
        <w:left w:val="none" w:sz="0" w:space="0" w:color="auto"/>
        <w:bottom w:val="none" w:sz="0" w:space="0" w:color="auto"/>
        <w:right w:val="none" w:sz="0" w:space="0" w:color="auto"/>
      </w:divBdr>
    </w:div>
    <w:div w:id="1219053607">
      <w:bodyDiv w:val="1"/>
      <w:marLeft w:val="0"/>
      <w:marRight w:val="0"/>
      <w:marTop w:val="0"/>
      <w:marBottom w:val="0"/>
      <w:divBdr>
        <w:top w:val="none" w:sz="0" w:space="0" w:color="auto"/>
        <w:left w:val="none" w:sz="0" w:space="0" w:color="auto"/>
        <w:bottom w:val="none" w:sz="0" w:space="0" w:color="auto"/>
        <w:right w:val="none" w:sz="0" w:space="0" w:color="auto"/>
      </w:divBdr>
    </w:div>
    <w:div w:id="1442532385">
      <w:bodyDiv w:val="1"/>
      <w:marLeft w:val="0"/>
      <w:marRight w:val="0"/>
      <w:marTop w:val="0"/>
      <w:marBottom w:val="0"/>
      <w:divBdr>
        <w:top w:val="none" w:sz="0" w:space="0" w:color="auto"/>
        <w:left w:val="none" w:sz="0" w:space="0" w:color="auto"/>
        <w:bottom w:val="none" w:sz="0" w:space="0" w:color="auto"/>
        <w:right w:val="none" w:sz="0" w:space="0" w:color="auto"/>
      </w:divBdr>
    </w:div>
    <w:div w:id="1461024775">
      <w:bodyDiv w:val="1"/>
      <w:marLeft w:val="0"/>
      <w:marRight w:val="0"/>
      <w:marTop w:val="0"/>
      <w:marBottom w:val="0"/>
      <w:divBdr>
        <w:top w:val="none" w:sz="0" w:space="0" w:color="auto"/>
        <w:left w:val="none" w:sz="0" w:space="0" w:color="auto"/>
        <w:bottom w:val="none" w:sz="0" w:space="0" w:color="auto"/>
        <w:right w:val="none" w:sz="0" w:space="0" w:color="auto"/>
      </w:divBdr>
    </w:div>
    <w:div w:id="1467049337">
      <w:bodyDiv w:val="1"/>
      <w:marLeft w:val="0"/>
      <w:marRight w:val="0"/>
      <w:marTop w:val="0"/>
      <w:marBottom w:val="0"/>
      <w:divBdr>
        <w:top w:val="none" w:sz="0" w:space="0" w:color="auto"/>
        <w:left w:val="none" w:sz="0" w:space="0" w:color="auto"/>
        <w:bottom w:val="none" w:sz="0" w:space="0" w:color="auto"/>
        <w:right w:val="none" w:sz="0" w:space="0" w:color="auto"/>
      </w:divBdr>
    </w:div>
    <w:div w:id="1586567618">
      <w:bodyDiv w:val="1"/>
      <w:marLeft w:val="0"/>
      <w:marRight w:val="0"/>
      <w:marTop w:val="0"/>
      <w:marBottom w:val="0"/>
      <w:divBdr>
        <w:top w:val="none" w:sz="0" w:space="0" w:color="auto"/>
        <w:left w:val="none" w:sz="0" w:space="0" w:color="auto"/>
        <w:bottom w:val="none" w:sz="0" w:space="0" w:color="auto"/>
        <w:right w:val="none" w:sz="0" w:space="0" w:color="auto"/>
      </w:divBdr>
    </w:div>
    <w:div w:id="19405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ropriations.house.gov/news/documentsingle.aspx?DocumentID=392934" TargetMode="External"/><Relationship Id="rId13" Type="http://schemas.openxmlformats.org/officeDocument/2006/relationships/hyperlink" Target="http://r20.rs6.net/tn.jsp?f=001a0Lv8B2IwqhaGcz1yCBV1QcdX7NHwqFInLuMMCY91rg1nKK-otFp8EEWFEtYEm_zatPbgp3v4b4Pc68EEtVIj-Obk4SpTcT9fOCyNSdwp6z9tzmj9Yl4x7XvxdUnteSWcGYh9Rb2QWclcNPjP-Cfy6QV1mHAzQO-OV_Th1SxrOQV4p4KaVzlqP7fACbV94IwLrVNSUGDPOGPywRxPMZ1OGQxqJwOEZ3EY53QDYUxF0BTKis86OoonPrUDp06v4l1&amp;c=xVGAT_ubUNZqz8_dFEM27uOkpxEGbo0jANS_lLH3MVGK2dcrjFAptA==&amp;ch=NpFUARp08qMkZICXZ2yz4jPUzHgEVE57cg__AptQxE_g4gcJMzq2sQ=="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20.rs6.net/tn.jsp?f=001a0Lv8B2IwqhaGcz1yCBV1QcdX7NHwqFInLuMMCY91rg1nKK-otFp8EEWFEtYEm_znX3GoLK5gCxoaTbyoTpNb2W6KMeFHCcP5eip_ImzTAGS3cQPGo84u6T2MWi6IQQ07F9IIzm7vV1Y_g-m9SaAIE5fgLVG_hIyp1473dVWYfdTM3oeqVBTa2R2FXCtT-KQsWTMMyejZ8NrufeSLD9OaiNUGJabUmdsQIvJ3YXKFXhcPVOB3aUG5qM4wkiGLxhobi8WhqTZ5VA=&amp;c=xVGAT_ubUNZqz8_dFEM27uOkpxEGbo0jANS_lLH3MVGK2dcrjFAptA==&amp;ch=NpFUARp08qMkZICXZ2yz4jPUzHgEVE57cg__AptQxE_g4gcJMzq2sQ==" TargetMode="External"/><Relationship Id="rId17" Type="http://schemas.openxmlformats.org/officeDocument/2006/relationships/hyperlink" Target="http://r20.rs6.net/tn.jsp?f=0010dRzu3gMXNwPGesNn3Ut18KvnzO7_tTKZc0FTsxE3pFDDOI8HevdrA9OlHvUAAZsz5EKtYRW4sYMiAOo18RlxkkcCH8LAyC7jenqaFIDwjyuT7qA9P8BiZBkfXeiZd2_7TfMGjDKGEWKEvrmwcTJlSpjOZDJzFQ3D6yw8Dvh7wQOTym6EgfurPW7D-whtmuS&amp;c=hihhhPlSjHcH0tIEm00juqAfirG7joAXPvQskTRsOGk-x9iTR3VCFQ==&amp;ch=m4nqcHjTTDJyIcM2COomnOsYGic9Yk9gEp6j-icGsHTv4IfgSA7Hag==" TargetMode="External"/><Relationship Id="rId2" Type="http://schemas.openxmlformats.org/officeDocument/2006/relationships/styles" Target="styles.xml"/><Relationship Id="rId16" Type="http://schemas.openxmlformats.org/officeDocument/2006/relationships/hyperlink" Target="http://r20.rs6.net/tn.jsp?f=001a0Lv8B2IwqhaGcz1yCBV1QcdX7NHwqFInLuMMCY91rg1nKK-otFp8EEWFEtYEm_zUPP6D3mCGzRXHZ4UYmLaJ9jbygBT7VYCaxx7wpPLCFERkR4HxxEKn5ZsTsPzEAK1dWuFHuTqLm1KGqu7KY6xXiOXmNnmPJ7zaUHMMs7H7xnBU-hzUOgDRqXSkNqcXYXKqTYSYM10cjNqPDoC7AcgAZFoAZeX7vnPIMZAUWZU6Vs=&amp;c=xVGAT_ubUNZqz8_dFEM27uOkpxEGbo0jANS_lLH3MVGK2dcrjFAptA==&amp;ch=NpFUARp08qMkZICXZ2yz4jPUzHgEVE57cg__AptQxE_g4gcJMzq2s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20.rs6.net/tn.jsp?f=001a0Lv8B2IwqhaGcz1yCBV1QcdX7NHwqFInLuMMCY91rg1nKK-otFp8EEWFEtYEm_zlEXRWiz8oJBo9oRQtsoTvUZ1m_jFArqfTqMM9_bjsRo_RiiJ34X2f8fBICnq7pQ9InOnsJBSz27XBeBjq2TS25bgmdRl_9OsLo9iFRih5XbF20znVJW2lPSiq-oimnmbK0r-Zm44s0ts-gM5R7QcQft-Tyr0W-AbmrjKAuJhQJaX-Wso7g4u4jB_J3MOfKyk&amp;c=xVGAT_ubUNZqz8_dFEM27uOkpxEGbo0jANS_lLH3MVGK2dcrjFAptA==&amp;ch=NpFUARp08qMkZICXZ2yz4jPUzHgEVE57cg__AptQxE_g4gcJMzq2sQ==" TargetMode="External"/><Relationship Id="rId5" Type="http://schemas.openxmlformats.org/officeDocument/2006/relationships/webSettings" Target="webSettings.xml"/><Relationship Id="rId15" Type="http://schemas.openxmlformats.org/officeDocument/2006/relationships/hyperlink" Target="http://NAELA.informz.net/z/cjUucD9taT00MjkwNTMwJnA9MSZ1PTEwMjQwOTg0MTgmbGk9MjQ5NjY4NDc/index.html" TargetMode="External"/><Relationship Id="rId10" Type="http://schemas.openxmlformats.org/officeDocument/2006/relationships/hyperlink" Target="http://appropriations.house.gov/news/documentsingle.aspx?DocumentID=3929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heap.org" TargetMode="External"/><Relationship Id="rId14" Type="http://schemas.openxmlformats.org/officeDocument/2006/relationships/hyperlink" Target="http://r20.rs6.net/tn.jsp?f=001a0Lv8B2IwqhaGcz1yCBV1QcdX7NHwqFInLuMMCY91rg1nKK-otFp8EEWFEtYEm_zFcGy7XASJUOfV3isamcPAN_9CeEGOgGziDoBG0uYtoXt2AoUQDEeTpLL7YNBcpmyf_wHy1Q81Tj4sk6rhOoUbosxi2Dv1xJGoIiAaK7h3-zCujZ6DHBTwJ0uLzvg-88iuPSW51NUxBTYRsudH8cauxchhbK8N7rUU_TvF9eOZU6rhj633v0RNfEomVMSqZvA&amp;c=xVGAT_ubUNZqz8_dFEM27uOkpxEGbo0jANS_lLH3MVGK2dcrjFAptA==&amp;ch=NpFUARp08qMkZICXZ2yz4jPUzHgEVE57cg__AptQxE_g4gcJMzq2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Lindberg</dc:creator>
  <cp:lastModifiedBy>Brian Lindberg</cp:lastModifiedBy>
  <cp:revision>3</cp:revision>
  <cp:lastPrinted>2014-09-26T20:55:00Z</cp:lastPrinted>
  <dcterms:created xsi:type="dcterms:W3CDTF">2014-09-26T20:56:00Z</dcterms:created>
  <dcterms:modified xsi:type="dcterms:W3CDTF">2014-09-26T20:59:00Z</dcterms:modified>
</cp:coreProperties>
</file>