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64" w:rsidRDefault="00030E64" w:rsidP="00BF1198">
      <w:pPr>
        <w:rPr>
          <w:rFonts w:ascii="Arial" w:hAnsi="Arial" w:cs="Arial"/>
          <w:b/>
          <w:sz w:val="22"/>
          <w:szCs w:val="22"/>
          <w:u w:val="single"/>
        </w:rPr>
      </w:pPr>
      <w:r w:rsidRPr="00030E64">
        <w:rPr>
          <w:rFonts w:ascii="Arial" w:hAnsi="Arial" w:cs="Arial"/>
          <w:b/>
          <w:noProof/>
          <w:sz w:val="22"/>
          <w:szCs w:val="22"/>
          <w:u w:val="single"/>
        </w:rPr>
        <w:drawing>
          <wp:inline distT="0" distB="0" distL="0" distR="0" wp14:anchorId="36FABD18" wp14:editId="4C3506A7">
            <wp:extent cx="3300919" cy="902927"/>
            <wp:effectExtent l="0" t="0" r="0" b="0"/>
            <wp:docPr id="5" name="Picture 4" descr="NAGE Logo - stacked"/>
            <wp:cNvGraphicFramePr/>
            <a:graphic xmlns:a="http://schemas.openxmlformats.org/drawingml/2006/main">
              <a:graphicData uri="http://schemas.openxmlformats.org/drawingml/2006/picture">
                <pic:pic xmlns:pic="http://schemas.openxmlformats.org/drawingml/2006/picture">
                  <pic:nvPicPr>
                    <pic:cNvPr id="5" name="Picture 4" descr="NAGE Logo - stacke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3638" cy="1024027"/>
                    </a:xfrm>
                    <a:prstGeom prst="rect">
                      <a:avLst/>
                    </a:prstGeom>
                    <a:noFill/>
                    <a:ln>
                      <a:noFill/>
                    </a:ln>
                  </pic:spPr>
                </pic:pic>
              </a:graphicData>
            </a:graphic>
          </wp:inline>
        </w:drawing>
      </w:r>
      <w:r w:rsidR="00BF1198">
        <w:rPr>
          <w:rFonts w:ascii="Arial" w:hAnsi="Arial" w:cs="Arial"/>
          <w:b/>
          <w:sz w:val="22"/>
          <w:szCs w:val="22"/>
          <w:u w:val="single"/>
        </w:rPr>
        <w:t xml:space="preserve"> </w:t>
      </w:r>
    </w:p>
    <w:p w:rsidR="00030E64" w:rsidRDefault="00030E64" w:rsidP="00BF1198">
      <w:pPr>
        <w:rPr>
          <w:rFonts w:ascii="Arial" w:hAnsi="Arial" w:cs="Arial"/>
          <w:b/>
          <w:sz w:val="22"/>
          <w:szCs w:val="22"/>
          <w:u w:val="single"/>
        </w:rPr>
      </w:pPr>
    </w:p>
    <w:p w:rsidR="00BF1198" w:rsidRDefault="00BF1198" w:rsidP="00BF1198">
      <w:pPr>
        <w:rPr>
          <w:rFonts w:ascii="Arial" w:hAnsi="Arial" w:cs="Arial"/>
          <w:b/>
          <w:sz w:val="22"/>
          <w:szCs w:val="22"/>
          <w:u w:val="single"/>
        </w:rPr>
      </w:pPr>
      <w:r>
        <w:rPr>
          <w:rFonts w:ascii="Arial" w:hAnsi="Arial" w:cs="Arial"/>
          <w:b/>
          <w:sz w:val="22"/>
          <w:szCs w:val="22"/>
          <w:u w:val="single"/>
        </w:rPr>
        <w:t xml:space="preserve">  </w:t>
      </w:r>
    </w:p>
    <w:p w:rsidR="00504031" w:rsidRDefault="00FA77BB" w:rsidP="00BF1198">
      <w:pPr>
        <w:jc w:val="center"/>
        <w:rPr>
          <w:rFonts w:ascii="Arial" w:hAnsi="Arial" w:cs="Arial"/>
          <w:b/>
          <w:sz w:val="22"/>
          <w:szCs w:val="22"/>
          <w:u w:val="single"/>
        </w:rPr>
      </w:pPr>
      <w:r>
        <w:rPr>
          <w:rFonts w:ascii="Arial" w:hAnsi="Arial" w:cs="Arial"/>
          <w:b/>
          <w:sz w:val="22"/>
          <w:szCs w:val="22"/>
          <w:u w:val="single"/>
        </w:rPr>
        <w:t>Geriatric</w:t>
      </w:r>
      <w:r w:rsidR="00030E64">
        <w:rPr>
          <w:rFonts w:ascii="Arial" w:hAnsi="Arial" w:cs="Arial"/>
          <w:b/>
          <w:sz w:val="22"/>
          <w:szCs w:val="22"/>
          <w:u w:val="single"/>
        </w:rPr>
        <w:t>s</w:t>
      </w:r>
      <w:r>
        <w:rPr>
          <w:rFonts w:ascii="Arial" w:hAnsi="Arial" w:cs="Arial"/>
          <w:b/>
          <w:sz w:val="22"/>
          <w:szCs w:val="22"/>
          <w:u w:val="single"/>
        </w:rPr>
        <w:t xml:space="preserve"> Work Force Enhancement Programs (</w:t>
      </w:r>
      <w:r w:rsidR="00504031" w:rsidRPr="00CF6A3A">
        <w:rPr>
          <w:rFonts w:ascii="Arial" w:hAnsi="Arial" w:cs="Arial"/>
          <w:b/>
          <w:sz w:val="22"/>
          <w:szCs w:val="22"/>
          <w:u w:val="single"/>
        </w:rPr>
        <w:t>G</w:t>
      </w:r>
      <w:r w:rsidR="00425072">
        <w:rPr>
          <w:rFonts w:ascii="Arial" w:hAnsi="Arial" w:cs="Arial"/>
          <w:b/>
          <w:sz w:val="22"/>
          <w:szCs w:val="22"/>
          <w:u w:val="single"/>
        </w:rPr>
        <w:t>WEP</w:t>
      </w:r>
      <w:r w:rsidR="00BF1198">
        <w:rPr>
          <w:rFonts w:ascii="Arial" w:hAnsi="Arial" w:cs="Arial"/>
          <w:b/>
          <w:sz w:val="22"/>
          <w:szCs w:val="22"/>
          <w:u w:val="single"/>
        </w:rPr>
        <w:t>s)</w:t>
      </w:r>
    </w:p>
    <w:p w:rsidR="00FA77BB" w:rsidRDefault="00BF1198" w:rsidP="00BF1198">
      <w:pPr>
        <w:ind w:firstLine="720"/>
        <w:rPr>
          <w:rFonts w:ascii="Arial" w:hAnsi="Arial" w:cs="Arial"/>
          <w:b/>
          <w:sz w:val="22"/>
          <w:szCs w:val="22"/>
          <w:u w:val="single"/>
        </w:rPr>
      </w:pPr>
      <w:r>
        <w:rPr>
          <w:rFonts w:ascii="Arial" w:hAnsi="Arial" w:cs="Arial"/>
          <w:b/>
          <w:sz w:val="22"/>
          <w:szCs w:val="22"/>
          <w:u w:val="single"/>
        </w:rPr>
        <w:t xml:space="preserve">        </w:t>
      </w:r>
    </w:p>
    <w:p w:rsidR="0072275C" w:rsidRPr="006F1517" w:rsidRDefault="00425072" w:rsidP="009C52C6">
      <w:r w:rsidRPr="00FA77BB">
        <w:rPr>
          <w:rFonts w:ascii="Arial" w:hAnsi="Arial" w:cs="Arial"/>
          <w:sz w:val="22"/>
          <w:szCs w:val="22"/>
        </w:rPr>
        <w:t xml:space="preserve">A network </w:t>
      </w:r>
      <w:r w:rsidRPr="006F1517">
        <w:rPr>
          <w:rFonts w:ascii="Arial" w:hAnsi="Arial" w:cs="Arial"/>
          <w:sz w:val="22"/>
          <w:szCs w:val="22"/>
        </w:rPr>
        <w:t>of 44</w:t>
      </w:r>
      <w:r w:rsidR="00504031" w:rsidRPr="006F1517">
        <w:rPr>
          <w:rFonts w:ascii="Arial" w:hAnsi="Arial" w:cs="Arial"/>
          <w:sz w:val="22"/>
          <w:szCs w:val="22"/>
        </w:rPr>
        <w:t xml:space="preserve"> Geriatric</w:t>
      </w:r>
      <w:r w:rsidR="00030E64" w:rsidRPr="006F1517">
        <w:rPr>
          <w:rFonts w:ascii="Arial" w:hAnsi="Arial" w:cs="Arial"/>
          <w:sz w:val="22"/>
          <w:szCs w:val="22"/>
        </w:rPr>
        <w:t>s</w:t>
      </w:r>
      <w:r w:rsidR="00504031" w:rsidRPr="006F1517">
        <w:rPr>
          <w:rFonts w:ascii="Arial" w:hAnsi="Arial" w:cs="Arial"/>
          <w:sz w:val="22"/>
          <w:szCs w:val="22"/>
        </w:rPr>
        <w:t xml:space="preserve"> </w:t>
      </w:r>
      <w:r w:rsidRPr="006F1517">
        <w:rPr>
          <w:rFonts w:ascii="Arial" w:hAnsi="Arial" w:cs="Arial"/>
          <w:sz w:val="22"/>
          <w:szCs w:val="22"/>
        </w:rPr>
        <w:t>Workforce Enhancement Programs</w:t>
      </w:r>
      <w:r w:rsidR="00504031" w:rsidRPr="006F1517">
        <w:rPr>
          <w:rFonts w:ascii="Arial" w:hAnsi="Arial" w:cs="Arial"/>
          <w:sz w:val="22"/>
          <w:szCs w:val="22"/>
        </w:rPr>
        <w:t xml:space="preserve"> (G</w:t>
      </w:r>
      <w:r w:rsidRPr="006F1517">
        <w:rPr>
          <w:rFonts w:ascii="Arial" w:hAnsi="Arial" w:cs="Arial"/>
          <w:sz w:val="22"/>
          <w:szCs w:val="22"/>
        </w:rPr>
        <w:t>W</w:t>
      </w:r>
      <w:r w:rsidR="00504031" w:rsidRPr="006F1517">
        <w:rPr>
          <w:rFonts w:ascii="Arial" w:hAnsi="Arial" w:cs="Arial"/>
          <w:sz w:val="22"/>
          <w:szCs w:val="22"/>
        </w:rPr>
        <w:t>E</w:t>
      </w:r>
      <w:r w:rsidRPr="006F1517">
        <w:rPr>
          <w:rFonts w:ascii="Arial" w:hAnsi="Arial" w:cs="Arial"/>
          <w:sz w:val="22"/>
          <w:szCs w:val="22"/>
        </w:rPr>
        <w:t>P</w:t>
      </w:r>
      <w:r w:rsidR="00504031" w:rsidRPr="006F1517">
        <w:rPr>
          <w:rFonts w:ascii="Arial" w:hAnsi="Arial" w:cs="Arial"/>
          <w:sz w:val="22"/>
          <w:szCs w:val="22"/>
        </w:rPr>
        <w:t xml:space="preserve">s) </w:t>
      </w:r>
      <w:r w:rsidR="00BC24AD">
        <w:rPr>
          <w:rFonts w:ascii="Arial" w:hAnsi="Arial" w:cs="Arial"/>
          <w:sz w:val="22"/>
          <w:szCs w:val="22"/>
        </w:rPr>
        <w:t xml:space="preserve">in 29 states </w:t>
      </w:r>
      <w:r w:rsidR="00504031" w:rsidRPr="006F1517">
        <w:rPr>
          <w:rFonts w:ascii="Arial" w:hAnsi="Arial" w:cs="Arial"/>
          <w:sz w:val="22"/>
          <w:szCs w:val="22"/>
        </w:rPr>
        <w:t>provide best practice and evidence-based geriatric education to healthcare professionals</w:t>
      </w:r>
      <w:r w:rsidR="00FA77BB" w:rsidRPr="006F1517">
        <w:rPr>
          <w:rFonts w:ascii="Arial" w:hAnsi="Arial" w:cs="Arial"/>
          <w:sz w:val="22"/>
          <w:szCs w:val="22"/>
        </w:rPr>
        <w:t xml:space="preserve">, </w:t>
      </w:r>
      <w:r w:rsidR="009C52C6" w:rsidRPr="006F1517">
        <w:rPr>
          <w:rFonts w:ascii="Arial" w:hAnsi="Arial" w:cs="Arial"/>
          <w:sz w:val="22"/>
          <w:szCs w:val="22"/>
        </w:rPr>
        <w:t xml:space="preserve">students and </w:t>
      </w:r>
      <w:r w:rsidR="006F1517" w:rsidRPr="006F1517">
        <w:rPr>
          <w:rFonts w:ascii="Arial" w:hAnsi="Arial" w:cs="Arial"/>
          <w:sz w:val="22"/>
          <w:szCs w:val="22"/>
        </w:rPr>
        <w:t>caregivers with</w:t>
      </w:r>
      <w:r w:rsidRPr="006F1517">
        <w:rPr>
          <w:rFonts w:ascii="Arial" w:hAnsi="Arial" w:cs="Arial"/>
          <w:sz w:val="22"/>
          <w:szCs w:val="22"/>
        </w:rPr>
        <w:t xml:space="preserve"> </w:t>
      </w:r>
      <w:r w:rsidR="009C52C6" w:rsidRPr="006F1517">
        <w:rPr>
          <w:rFonts w:ascii="Arial" w:hAnsi="Arial" w:cs="Arial"/>
          <w:sz w:val="22"/>
          <w:szCs w:val="22"/>
        </w:rPr>
        <w:t xml:space="preserve">an </w:t>
      </w:r>
      <w:r w:rsidRPr="006F1517">
        <w:rPr>
          <w:rFonts w:ascii="Arial" w:hAnsi="Arial" w:cs="Arial"/>
          <w:sz w:val="22"/>
          <w:szCs w:val="22"/>
        </w:rPr>
        <w:t xml:space="preserve">emphasis </w:t>
      </w:r>
      <w:r w:rsidR="00FA77BB" w:rsidRPr="006F1517">
        <w:rPr>
          <w:rFonts w:ascii="Arial" w:hAnsi="Arial" w:cs="Arial"/>
          <w:sz w:val="22"/>
          <w:szCs w:val="22"/>
        </w:rPr>
        <w:t>on</w:t>
      </w:r>
      <w:r w:rsidR="009C52C6" w:rsidRPr="006F1517">
        <w:rPr>
          <w:rFonts w:ascii="Arial" w:hAnsi="Arial" w:cs="Arial"/>
          <w:sz w:val="22"/>
          <w:szCs w:val="22"/>
        </w:rPr>
        <w:t>: 1.</w:t>
      </w:r>
      <w:r w:rsidR="00FA77BB" w:rsidRPr="006F1517">
        <w:rPr>
          <w:rFonts w:ascii="Arial" w:hAnsi="Arial" w:cs="Arial"/>
          <w:sz w:val="22"/>
          <w:szCs w:val="22"/>
        </w:rPr>
        <w:t xml:space="preserve"> </w:t>
      </w:r>
      <w:r w:rsidR="00BF1198" w:rsidRPr="006F1517">
        <w:rPr>
          <w:rFonts w:ascii="Arial" w:hAnsi="Arial" w:cs="Arial"/>
          <w:sz w:val="22"/>
          <w:szCs w:val="22"/>
        </w:rPr>
        <w:t>I</w:t>
      </w:r>
      <w:r w:rsidR="00FA77BB" w:rsidRPr="006F1517">
        <w:rPr>
          <w:rFonts w:ascii="Arial" w:hAnsi="Arial" w:cs="Arial"/>
          <w:sz w:val="22"/>
          <w:szCs w:val="22"/>
        </w:rPr>
        <w:t xml:space="preserve">nterprofessional </w:t>
      </w:r>
      <w:r w:rsidRPr="006F1517">
        <w:rPr>
          <w:rFonts w:ascii="Arial" w:hAnsi="Arial" w:cs="Arial"/>
          <w:sz w:val="22"/>
          <w:szCs w:val="22"/>
        </w:rPr>
        <w:t>primary care</w:t>
      </w:r>
      <w:r w:rsidR="00FA77BB" w:rsidRPr="006F1517">
        <w:rPr>
          <w:rFonts w:ascii="Arial" w:hAnsi="Arial" w:cs="Arial"/>
          <w:sz w:val="22"/>
          <w:szCs w:val="22"/>
        </w:rPr>
        <w:t xml:space="preserve"> providers,</w:t>
      </w:r>
      <w:r w:rsidRPr="006F1517">
        <w:rPr>
          <w:rFonts w:ascii="Arial" w:hAnsi="Arial" w:cs="Arial"/>
          <w:sz w:val="22"/>
          <w:szCs w:val="22"/>
        </w:rPr>
        <w:t xml:space="preserve"> </w:t>
      </w:r>
      <w:r w:rsidR="009C52C6" w:rsidRPr="006F1517">
        <w:rPr>
          <w:rFonts w:ascii="Arial" w:hAnsi="Arial" w:cs="Arial"/>
          <w:sz w:val="22"/>
          <w:szCs w:val="22"/>
        </w:rPr>
        <w:t xml:space="preserve">2. </w:t>
      </w:r>
      <w:r w:rsidR="00BF1198" w:rsidRPr="006F1517">
        <w:rPr>
          <w:rFonts w:ascii="Arial" w:hAnsi="Arial" w:cs="Arial"/>
          <w:sz w:val="22"/>
          <w:szCs w:val="22"/>
        </w:rPr>
        <w:t>C</w:t>
      </w:r>
      <w:r w:rsidRPr="006F1517">
        <w:rPr>
          <w:rFonts w:ascii="Arial" w:hAnsi="Arial" w:cs="Arial"/>
          <w:sz w:val="22"/>
          <w:szCs w:val="22"/>
        </w:rPr>
        <w:t xml:space="preserve">ommunity </w:t>
      </w:r>
      <w:r w:rsidR="009C52C6" w:rsidRPr="006F1517">
        <w:rPr>
          <w:rFonts w:ascii="Arial" w:hAnsi="Arial" w:cs="Arial"/>
          <w:sz w:val="22"/>
          <w:szCs w:val="22"/>
        </w:rPr>
        <w:t xml:space="preserve">healthcare </w:t>
      </w:r>
      <w:r w:rsidRPr="006F1517">
        <w:rPr>
          <w:rFonts w:ascii="Arial" w:hAnsi="Arial" w:cs="Arial"/>
          <w:sz w:val="22"/>
          <w:szCs w:val="22"/>
        </w:rPr>
        <w:t>partners</w:t>
      </w:r>
      <w:r w:rsidR="006F1517">
        <w:rPr>
          <w:rFonts w:ascii="Arial" w:hAnsi="Arial" w:cs="Arial"/>
          <w:sz w:val="22"/>
          <w:szCs w:val="22"/>
        </w:rPr>
        <w:t>,</w:t>
      </w:r>
      <w:r w:rsidR="00FA77BB" w:rsidRPr="006F1517">
        <w:rPr>
          <w:rFonts w:ascii="Arial" w:hAnsi="Arial" w:cs="Arial"/>
          <w:sz w:val="22"/>
          <w:szCs w:val="22"/>
        </w:rPr>
        <w:t xml:space="preserve"> and </w:t>
      </w:r>
      <w:r w:rsidR="009C52C6" w:rsidRPr="006F1517">
        <w:rPr>
          <w:rFonts w:ascii="Arial" w:hAnsi="Arial" w:cs="Arial"/>
          <w:sz w:val="22"/>
          <w:szCs w:val="22"/>
        </w:rPr>
        <w:t xml:space="preserve">3. </w:t>
      </w:r>
      <w:r w:rsidR="00FA77BB" w:rsidRPr="006F1517">
        <w:rPr>
          <w:rFonts w:ascii="Arial" w:hAnsi="Arial" w:cs="Arial"/>
          <w:sz w:val="22"/>
          <w:szCs w:val="22"/>
        </w:rPr>
        <w:t>Alzheimer’s education</w:t>
      </w:r>
      <w:r w:rsidR="009C52C6" w:rsidRPr="006F1517">
        <w:rPr>
          <w:rFonts w:ascii="Arial" w:hAnsi="Arial" w:cs="Arial"/>
          <w:sz w:val="22"/>
          <w:szCs w:val="22"/>
        </w:rPr>
        <w:t xml:space="preserve"> to healthcare providers and caregivers</w:t>
      </w:r>
      <w:r w:rsidRPr="006F1517">
        <w:rPr>
          <w:rFonts w:ascii="Arial" w:hAnsi="Arial" w:cs="Arial"/>
          <w:sz w:val="22"/>
          <w:szCs w:val="22"/>
        </w:rPr>
        <w:t xml:space="preserve">. </w:t>
      </w:r>
    </w:p>
    <w:p w:rsidR="00425072" w:rsidRPr="006F1517" w:rsidRDefault="00425072" w:rsidP="00425072">
      <w:pPr>
        <w:rPr>
          <w:rFonts w:ascii="Arial" w:hAnsi="Arial" w:cs="Arial"/>
          <w:sz w:val="22"/>
          <w:szCs w:val="22"/>
        </w:rPr>
      </w:pPr>
    </w:p>
    <w:p w:rsidR="00504031" w:rsidRDefault="009C52C6" w:rsidP="00FD6F74">
      <w:pPr>
        <w:rPr>
          <w:rFonts w:ascii="Arial" w:hAnsi="Arial" w:cs="Arial"/>
          <w:b/>
          <w:sz w:val="22"/>
          <w:szCs w:val="22"/>
        </w:rPr>
      </w:pPr>
      <w:r w:rsidRPr="006F1517">
        <w:rPr>
          <w:rFonts w:ascii="Arial" w:hAnsi="Arial" w:cs="Arial"/>
          <w:b/>
          <w:sz w:val="22"/>
          <w:szCs w:val="22"/>
        </w:rPr>
        <w:t>GWEP Programs:</w:t>
      </w:r>
    </w:p>
    <w:p w:rsidR="00D70B65" w:rsidRPr="006F1517" w:rsidRDefault="00D70B65" w:rsidP="00FD6F74">
      <w:pPr>
        <w:rPr>
          <w:rFonts w:ascii="Arial" w:hAnsi="Arial" w:cs="Arial"/>
          <w:b/>
          <w:sz w:val="22"/>
          <w:szCs w:val="22"/>
        </w:rPr>
      </w:pPr>
    </w:p>
    <w:p w:rsidR="00504031" w:rsidRPr="006F1517" w:rsidRDefault="00425072" w:rsidP="00425072">
      <w:pPr>
        <w:numPr>
          <w:ilvl w:val="0"/>
          <w:numId w:val="2"/>
        </w:numPr>
        <w:rPr>
          <w:rFonts w:ascii="Arial" w:hAnsi="Arial" w:cs="Arial"/>
          <w:b/>
          <w:bCs/>
          <w:sz w:val="22"/>
          <w:szCs w:val="22"/>
        </w:rPr>
      </w:pPr>
      <w:r w:rsidRPr="006F1517">
        <w:rPr>
          <w:rFonts w:ascii="Arial" w:hAnsi="Arial" w:cs="Arial"/>
          <w:sz w:val="22"/>
          <w:szCs w:val="22"/>
        </w:rPr>
        <w:t>In the 2015-2016</w:t>
      </w:r>
      <w:r w:rsidR="00504031" w:rsidRPr="006F1517">
        <w:rPr>
          <w:rFonts w:ascii="Arial" w:hAnsi="Arial" w:cs="Arial"/>
          <w:sz w:val="22"/>
          <w:szCs w:val="22"/>
        </w:rPr>
        <w:t xml:space="preserve"> Academic Year, the G</w:t>
      </w:r>
      <w:r w:rsidRPr="006F1517">
        <w:rPr>
          <w:rFonts w:ascii="Arial" w:hAnsi="Arial" w:cs="Arial"/>
          <w:sz w:val="22"/>
          <w:szCs w:val="22"/>
        </w:rPr>
        <w:t>WEP</w:t>
      </w:r>
      <w:r w:rsidR="00504031" w:rsidRPr="006F1517">
        <w:rPr>
          <w:rFonts w:ascii="Arial" w:hAnsi="Arial" w:cs="Arial"/>
          <w:sz w:val="22"/>
          <w:szCs w:val="22"/>
        </w:rPr>
        <w:t>s provided</w:t>
      </w:r>
      <w:r w:rsidR="001D6A9D" w:rsidRPr="006F1517">
        <w:rPr>
          <w:rFonts w:ascii="Arial" w:hAnsi="Arial" w:cs="Arial"/>
          <w:sz w:val="22"/>
          <w:szCs w:val="22"/>
        </w:rPr>
        <w:t>:</w:t>
      </w:r>
      <w:r w:rsidR="006F1517">
        <w:rPr>
          <w:rFonts w:ascii="Arial" w:hAnsi="Arial" w:cs="Arial"/>
          <w:sz w:val="22"/>
          <w:szCs w:val="22"/>
        </w:rPr>
        <w:t xml:space="preserve"> </w:t>
      </w:r>
      <w:r w:rsidR="00504031" w:rsidRPr="006F1517">
        <w:rPr>
          <w:rFonts w:ascii="Arial" w:hAnsi="Arial" w:cs="Arial"/>
          <w:sz w:val="22"/>
          <w:szCs w:val="22"/>
        </w:rPr>
        <w:t xml:space="preserve">1,650 different continuing education courses to approximately </w:t>
      </w:r>
      <w:r w:rsidR="00504031" w:rsidRPr="006F1517">
        <w:rPr>
          <w:rFonts w:ascii="Arial" w:hAnsi="Arial" w:cs="Arial"/>
          <w:b/>
          <w:sz w:val="22"/>
          <w:szCs w:val="22"/>
        </w:rPr>
        <w:t>94,000</w:t>
      </w:r>
      <w:r w:rsidR="00504031" w:rsidRPr="006F1517">
        <w:rPr>
          <w:rFonts w:ascii="Arial" w:hAnsi="Arial" w:cs="Arial"/>
          <w:sz w:val="22"/>
          <w:szCs w:val="22"/>
        </w:rPr>
        <w:t xml:space="preserve"> health care professionals and students from disciplines </w:t>
      </w:r>
      <w:r w:rsidR="001D6A9D" w:rsidRPr="006F1517">
        <w:rPr>
          <w:rFonts w:ascii="Arial" w:hAnsi="Arial" w:cs="Arial"/>
          <w:sz w:val="22"/>
          <w:szCs w:val="22"/>
        </w:rPr>
        <w:t>including</w:t>
      </w:r>
      <w:r w:rsidR="00504031" w:rsidRPr="006F1517">
        <w:rPr>
          <w:rFonts w:ascii="Arial" w:hAnsi="Arial" w:cs="Arial"/>
          <w:sz w:val="22"/>
          <w:szCs w:val="22"/>
        </w:rPr>
        <w:t xml:space="preserve"> medicine, nursing, allied health, health services administration, social work, and psychology. </w:t>
      </w:r>
      <w:r w:rsidR="006F1517">
        <w:rPr>
          <w:rFonts w:ascii="Arial" w:hAnsi="Arial" w:cs="Arial"/>
          <w:sz w:val="22"/>
          <w:szCs w:val="22"/>
        </w:rPr>
        <w:t xml:space="preserve"> </w:t>
      </w:r>
      <w:r w:rsidR="009C52C6" w:rsidRPr="006F1517">
        <w:rPr>
          <w:rFonts w:ascii="Arial" w:hAnsi="Arial" w:cs="Arial"/>
          <w:sz w:val="22"/>
          <w:szCs w:val="22"/>
        </w:rPr>
        <w:t>With t</w:t>
      </w:r>
      <w:r w:rsidR="00504031" w:rsidRPr="006F1517">
        <w:rPr>
          <w:rFonts w:ascii="Arial" w:hAnsi="Arial" w:cs="Arial"/>
          <w:sz w:val="22"/>
          <w:szCs w:val="22"/>
        </w:rPr>
        <w:t>he ballooning number of older adults in this country</w:t>
      </w:r>
      <w:r w:rsidR="006F1517">
        <w:rPr>
          <w:rFonts w:ascii="Arial" w:hAnsi="Arial" w:cs="Arial"/>
          <w:sz w:val="22"/>
          <w:szCs w:val="22"/>
        </w:rPr>
        <w:t>, it is critical for</w:t>
      </w:r>
      <w:r w:rsidR="00504031" w:rsidRPr="006F1517">
        <w:rPr>
          <w:rFonts w:ascii="Arial" w:hAnsi="Arial" w:cs="Arial"/>
          <w:sz w:val="22"/>
          <w:szCs w:val="22"/>
        </w:rPr>
        <w:t xml:space="preserve"> </w:t>
      </w:r>
      <w:r w:rsidR="009C52C6" w:rsidRPr="006F1517">
        <w:rPr>
          <w:rFonts w:ascii="Arial" w:hAnsi="Arial" w:cs="Arial"/>
          <w:sz w:val="22"/>
          <w:szCs w:val="22"/>
        </w:rPr>
        <w:t>GWEP</w:t>
      </w:r>
      <w:r w:rsidR="006F1517">
        <w:rPr>
          <w:rFonts w:ascii="Arial" w:hAnsi="Arial" w:cs="Arial"/>
          <w:sz w:val="22"/>
          <w:szCs w:val="22"/>
        </w:rPr>
        <w:t>s</w:t>
      </w:r>
      <w:r w:rsidR="009C52C6" w:rsidRPr="006F1517">
        <w:rPr>
          <w:rFonts w:ascii="Arial" w:hAnsi="Arial" w:cs="Arial"/>
          <w:sz w:val="22"/>
          <w:szCs w:val="22"/>
        </w:rPr>
        <w:t xml:space="preserve"> educate</w:t>
      </w:r>
      <w:r w:rsidR="00504031" w:rsidRPr="006F1517">
        <w:rPr>
          <w:rFonts w:ascii="Arial" w:hAnsi="Arial" w:cs="Arial"/>
          <w:sz w:val="22"/>
          <w:szCs w:val="22"/>
        </w:rPr>
        <w:t xml:space="preserve"> a healthcare workforce that is prepared to provide appropriate, competent and cost-effective care. </w:t>
      </w:r>
    </w:p>
    <w:p w:rsidR="006F1517" w:rsidRPr="006F1517" w:rsidRDefault="006F1517" w:rsidP="006F1517">
      <w:pPr>
        <w:ind w:left="360"/>
        <w:rPr>
          <w:rFonts w:ascii="Arial" w:hAnsi="Arial" w:cs="Arial"/>
          <w:b/>
          <w:bCs/>
          <w:sz w:val="22"/>
          <w:szCs w:val="22"/>
        </w:rPr>
      </w:pPr>
    </w:p>
    <w:p w:rsidR="006F1517" w:rsidRPr="006F1517" w:rsidRDefault="006F1517" w:rsidP="006F1517">
      <w:pPr>
        <w:numPr>
          <w:ilvl w:val="0"/>
          <w:numId w:val="2"/>
        </w:numPr>
        <w:rPr>
          <w:rFonts w:ascii="Arial" w:hAnsi="Arial" w:cs="Arial"/>
          <w:sz w:val="22"/>
          <w:szCs w:val="22"/>
        </w:rPr>
      </w:pPr>
      <w:r w:rsidRPr="006F1517">
        <w:rPr>
          <w:rFonts w:ascii="Arial" w:hAnsi="Arial" w:cs="Arial"/>
          <w:sz w:val="22"/>
          <w:szCs w:val="22"/>
        </w:rPr>
        <w:t xml:space="preserve">GWEPs </w:t>
      </w:r>
      <w:r>
        <w:rPr>
          <w:rFonts w:ascii="Arial" w:hAnsi="Arial" w:cs="Arial"/>
          <w:sz w:val="22"/>
          <w:szCs w:val="22"/>
        </w:rPr>
        <w:t xml:space="preserve">also </w:t>
      </w:r>
      <w:r w:rsidRPr="006F1517">
        <w:rPr>
          <w:rFonts w:ascii="Arial" w:hAnsi="Arial" w:cs="Arial"/>
          <w:sz w:val="22"/>
          <w:szCs w:val="22"/>
        </w:rPr>
        <w:t xml:space="preserve">provide education in </w:t>
      </w:r>
      <w:r>
        <w:rPr>
          <w:rFonts w:ascii="Arial" w:hAnsi="Arial" w:cs="Arial"/>
          <w:sz w:val="22"/>
          <w:szCs w:val="22"/>
        </w:rPr>
        <w:t>many r</w:t>
      </w:r>
      <w:r w:rsidRPr="006F1517">
        <w:rPr>
          <w:rFonts w:ascii="Arial" w:hAnsi="Arial" w:cs="Arial"/>
          <w:sz w:val="22"/>
          <w:szCs w:val="22"/>
        </w:rPr>
        <w:t xml:space="preserve">ural and </w:t>
      </w:r>
      <w:r>
        <w:rPr>
          <w:rFonts w:ascii="Arial" w:hAnsi="Arial" w:cs="Arial"/>
          <w:sz w:val="22"/>
          <w:szCs w:val="22"/>
        </w:rPr>
        <w:t>u</w:t>
      </w:r>
      <w:r w:rsidRPr="006F1517">
        <w:rPr>
          <w:rFonts w:ascii="Arial" w:hAnsi="Arial" w:cs="Arial"/>
          <w:sz w:val="22"/>
          <w:szCs w:val="22"/>
        </w:rPr>
        <w:t>nderserved areas.</w:t>
      </w:r>
    </w:p>
    <w:p w:rsidR="00425072" w:rsidRPr="006F1517" w:rsidRDefault="00425072" w:rsidP="00425072">
      <w:pPr>
        <w:ind w:left="360"/>
        <w:rPr>
          <w:rFonts w:ascii="Arial" w:hAnsi="Arial" w:cs="Arial"/>
          <w:b/>
          <w:bCs/>
          <w:sz w:val="22"/>
          <w:szCs w:val="22"/>
        </w:rPr>
      </w:pPr>
      <w:bookmarkStart w:id="0" w:name="_GoBack"/>
      <w:bookmarkEnd w:id="0"/>
    </w:p>
    <w:p w:rsidR="00504031" w:rsidRPr="006F1517" w:rsidRDefault="00504031" w:rsidP="00FD6F74">
      <w:pPr>
        <w:numPr>
          <w:ilvl w:val="0"/>
          <w:numId w:val="2"/>
        </w:numPr>
        <w:rPr>
          <w:rFonts w:ascii="Arial" w:hAnsi="Arial" w:cs="Arial"/>
          <w:sz w:val="22"/>
          <w:szCs w:val="22"/>
        </w:rPr>
      </w:pPr>
      <w:r w:rsidRPr="006F1517">
        <w:rPr>
          <w:rFonts w:ascii="Arial" w:hAnsi="Arial" w:cs="Arial"/>
          <w:sz w:val="22"/>
          <w:szCs w:val="22"/>
        </w:rPr>
        <w:t>G</w:t>
      </w:r>
      <w:r w:rsidR="00425072" w:rsidRPr="006F1517">
        <w:rPr>
          <w:rFonts w:ascii="Arial" w:hAnsi="Arial" w:cs="Arial"/>
          <w:sz w:val="22"/>
          <w:szCs w:val="22"/>
        </w:rPr>
        <w:t>WEP</w:t>
      </w:r>
      <w:r w:rsidR="006D6C28" w:rsidRPr="006F1517">
        <w:rPr>
          <w:rFonts w:ascii="Arial" w:hAnsi="Arial" w:cs="Arial"/>
          <w:sz w:val="22"/>
          <w:szCs w:val="22"/>
        </w:rPr>
        <w:t>’</w:t>
      </w:r>
      <w:r w:rsidRPr="006F1517">
        <w:rPr>
          <w:rFonts w:ascii="Arial" w:hAnsi="Arial" w:cs="Arial"/>
          <w:sz w:val="22"/>
          <w:szCs w:val="22"/>
        </w:rPr>
        <w:t xml:space="preserve">s </w:t>
      </w:r>
      <w:r w:rsidR="001D6A9D" w:rsidRPr="006F1517">
        <w:rPr>
          <w:rFonts w:ascii="Arial" w:hAnsi="Arial" w:cs="Arial"/>
          <w:sz w:val="22"/>
          <w:szCs w:val="22"/>
        </w:rPr>
        <w:t>Goals Include:</w:t>
      </w:r>
    </w:p>
    <w:p w:rsidR="00504031" w:rsidRPr="006F1517" w:rsidRDefault="00504031" w:rsidP="00FD6F74">
      <w:pPr>
        <w:rPr>
          <w:rFonts w:ascii="Arial" w:hAnsi="Arial" w:cs="Arial"/>
          <w:b/>
          <w:bCs/>
          <w:sz w:val="22"/>
          <w:szCs w:val="22"/>
        </w:rPr>
      </w:pPr>
    </w:p>
    <w:p w:rsidR="00504031" w:rsidRPr="006F1517" w:rsidRDefault="00504031" w:rsidP="006D6C28">
      <w:pPr>
        <w:pStyle w:val="ListParagraph"/>
        <w:numPr>
          <w:ilvl w:val="0"/>
          <w:numId w:val="5"/>
        </w:numPr>
        <w:rPr>
          <w:rFonts w:ascii="Arial" w:hAnsi="Arial" w:cs="Arial"/>
          <w:sz w:val="22"/>
          <w:szCs w:val="22"/>
        </w:rPr>
      </w:pPr>
      <w:r w:rsidRPr="006F1517">
        <w:rPr>
          <w:rFonts w:ascii="Arial" w:hAnsi="Arial" w:cs="Arial"/>
          <w:sz w:val="22"/>
          <w:szCs w:val="22"/>
        </w:rPr>
        <w:t>continuing education programs in geriatrics for practicing health professionals from all disciplines;</w:t>
      </w:r>
    </w:p>
    <w:p w:rsidR="00504031" w:rsidRPr="006F1517" w:rsidRDefault="00504031" w:rsidP="006D6C28">
      <w:pPr>
        <w:pStyle w:val="ListParagraph"/>
        <w:numPr>
          <w:ilvl w:val="0"/>
          <w:numId w:val="5"/>
        </w:numPr>
        <w:rPr>
          <w:rFonts w:ascii="Arial" w:hAnsi="Arial" w:cs="Arial"/>
          <w:sz w:val="22"/>
          <w:szCs w:val="22"/>
        </w:rPr>
      </w:pPr>
      <w:r w:rsidRPr="006F1517">
        <w:rPr>
          <w:rFonts w:ascii="Arial" w:hAnsi="Arial" w:cs="Arial"/>
          <w:sz w:val="22"/>
          <w:szCs w:val="22"/>
        </w:rPr>
        <w:t>didactic and clinical training opportunities in geriatrics for health professional students and promot</w:t>
      </w:r>
      <w:r w:rsidR="006F1517">
        <w:rPr>
          <w:rFonts w:ascii="Arial" w:hAnsi="Arial" w:cs="Arial"/>
          <w:sz w:val="22"/>
          <w:szCs w:val="22"/>
        </w:rPr>
        <w:t>ion of</w:t>
      </w:r>
      <w:r w:rsidRPr="006F1517">
        <w:rPr>
          <w:rFonts w:ascii="Arial" w:hAnsi="Arial" w:cs="Arial"/>
          <w:sz w:val="22"/>
          <w:szCs w:val="22"/>
        </w:rPr>
        <w:t xml:space="preserve"> interprofessional, team-based approaches to care and care coordination;</w:t>
      </w:r>
    </w:p>
    <w:p w:rsidR="00504031" w:rsidRPr="006F1517" w:rsidRDefault="00504031" w:rsidP="006D6C28">
      <w:pPr>
        <w:pStyle w:val="ListParagraph"/>
        <w:numPr>
          <w:ilvl w:val="0"/>
          <w:numId w:val="5"/>
        </w:numPr>
        <w:rPr>
          <w:rFonts w:ascii="Arial" w:hAnsi="Arial" w:cs="Arial"/>
          <w:sz w:val="22"/>
          <w:szCs w:val="22"/>
        </w:rPr>
      </w:pPr>
      <w:r w:rsidRPr="006F1517">
        <w:rPr>
          <w:rFonts w:ascii="Arial" w:hAnsi="Arial" w:cs="Arial"/>
          <w:sz w:val="22"/>
          <w:szCs w:val="22"/>
        </w:rPr>
        <w:t>c</w:t>
      </w:r>
      <w:r w:rsidR="006D6C28" w:rsidRPr="006F1517">
        <w:rPr>
          <w:rFonts w:ascii="Arial" w:hAnsi="Arial" w:cs="Arial"/>
          <w:sz w:val="22"/>
          <w:szCs w:val="22"/>
        </w:rPr>
        <w:t>ollaboration</w:t>
      </w:r>
      <w:r w:rsidRPr="006F1517">
        <w:rPr>
          <w:rFonts w:ascii="Arial" w:hAnsi="Arial" w:cs="Arial"/>
          <w:sz w:val="22"/>
          <w:szCs w:val="22"/>
        </w:rPr>
        <w:t xml:space="preserve"> with acute care, long-term care and community-based service providers on Evidence-Based Practice Programs designed to reduce rates and improve outcomes of care relating to delirium, depression, falls, pain, and diabetes in older adults;</w:t>
      </w:r>
    </w:p>
    <w:p w:rsidR="00504031" w:rsidRPr="006F1517" w:rsidRDefault="00504031" w:rsidP="006D6C28">
      <w:pPr>
        <w:pStyle w:val="ListParagraph"/>
        <w:numPr>
          <w:ilvl w:val="0"/>
          <w:numId w:val="5"/>
        </w:numPr>
        <w:rPr>
          <w:rFonts w:ascii="Arial" w:hAnsi="Arial" w:cs="Arial"/>
          <w:sz w:val="22"/>
          <w:szCs w:val="22"/>
        </w:rPr>
      </w:pPr>
      <w:r w:rsidRPr="006F1517">
        <w:rPr>
          <w:rFonts w:ascii="Arial" w:hAnsi="Arial" w:cs="Arial"/>
          <w:sz w:val="22"/>
          <w:szCs w:val="22"/>
        </w:rPr>
        <w:t>160-hour interprofessional Faculty Development Programs to prepare faculty to teach geriatrics and interprofessional team-based care;</w:t>
      </w:r>
    </w:p>
    <w:p w:rsidR="00504031" w:rsidRPr="006F1517" w:rsidRDefault="00504031" w:rsidP="006D6C28">
      <w:pPr>
        <w:pStyle w:val="ListParagraph"/>
        <w:numPr>
          <w:ilvl w:val="0"/>
          <w:numId w:val="5"/>
        </w:numPr>
        <w:rPr>
          <w:rFonts w:ascii="Arial" w:hAnsi="Arial" w:cs="Arial"/>
          <w:sz w:val="22"/>
          <w:szCs w:val="22"/>
        </w:rPr>
      </w:pPr>
      <w:r w:rsidRPr="006F1517">
        <w:rPr>
          <w:rFonts w:ascii="Arial" w:hAnsi="Arial" w:cs="Arial"/>
          <w:sz w:val="22"/>
          <w:szCs w:val="22"/>
        </w:rPr>
        <w:t>opportunities for healthcare providers in underserved, rural and remote areas of the country to learn from and consult with top experts in geriatric care through Interactive Televideo (ITV) and synchronous Webcasts;</w:t>
      </w:r>
      <w:r w:rsidR="006D6C28" w:rsidRPr="006F1517">
        <w:rPr>
          <w:rFonts w:ascii="Arial" w:hAnsi="Arial" w:cs="Arial"/>
          <w:sz w:val="22"/>
          <w:szCs w:val="22"/>
        </w:rPr>
        <w:t xml:space="preserve"> </w:t>
      </w:r>
    </w:p>
    <w:p w:rsidR="00504031" w:rsidRPr="006F1517" w:rsidRDefault="006D6C28" w:rsidP="006D6C28">
      <w:pPr>
        <w:pStyle w:val="ListParagraph"/>
        <w:numPr>
          <w:ilvl w:val="0"/>
          <w:numId w:val="5"/>
        </w:numPr>
        <w:rPr>
          <w:rFonts w:ascii="Arial" w:hAnsi="Arial" w:cs="Arial"/>
          <w:sz w:val="22"/>
          <w:szCs w:val="22"/>
        </w:rPr>
      </w:pPr>
      <w:r w:rsidRPr="006F1517">
        <w:rPr>
          <w:rFonts w:ascii="Arial" w:hAnsi="Arial" w:cs="Arial"/>
          <w:sz w:val="22"/>
          <w:szCs w:val="22"/>
        </w:rPr>
        <w:t xml:space="preserve">develop and </w:t>
      </w:r>
      <w:r w:rsidR="00504031" w:rsidRPr="006F1517">
        <w:rPr>
          <w:rFonts w:ascii="Arial" w:hAnsi="Arial" w:cs="Arial"/>
          <w:sz w:val="22"/>
          <w:szCs w:val="22"/>
        </w:rPr>
        <w:t>make</w:t>
      </w:r>
      <w:r w:rsidRPr="006F1517">
        <w:rPr>
          <w:rFonts w:ascii="Arial" w:hAnsi="Arial" w:cs="Arial"/>
          <w:sz w:val="22"/>
          <w:szCs w:val="22"/>
        </w:rPr>
        <w:t xml:space="preserve"> available</w:t>
      </w:r>
      <w:r w:rsidR="00504031" w:rsidRPr="006F1517">
        <w:rPr>
          <w:rFonts w:ascii="Arial" w:hAnsi="Arial" w:cs="Arial"/>
          <w:sz w:val="22"/>
          <w:szCs w:val="22"/>
        </w:rPr>
        <w:t xml:space="preserve"> online geriatric education programs that healthcare professionals can access 24-hours per day.</w:t>
      </w:r>
    </w:p>
    <w:p w:rsidR="00FA77BB" w:rsidRPr="006F1517" w:rsidRDefault="00FA77BB" w:rsidP="00FA77BB">
      <w:pPr>
        <w:rPr>
          <w:rFonts w:ascii="Arial" w:hAnsi="Arial" w:cs="Arial"/>
          <w:sz w:val="22"/>
          <w:szCs w:val="22"/>
        </w:rPr>
      </w:pPr>
    </w:p>
    <w:p w:rsidR="00FA77BB" w:rsidRDefault="009C52C6" w:rsidP="00FA77BB">
      <w:pPr>
        <w:rPr>
          <w:rFonts w:ascii="Arial" w:hAnsi="Arial" w:cs="Arial"/>
          <w:b/>
          <w:sz w:val="22"/>
          <w:szCs w:val="22"/>
        </w:rPr>
      </w:pPr>
      <w:r w:rsidRPr="006F1517">
        <w:rPr>
          <w:rFonts w:ascii="Arial" w:hAnsi="Arial" w:cs="Arial"/>
          <w:b/>
          <w:sz w:val="22"/>
          <w:szCs w:val="22"/>
        </w:rPr>
        <w:t>Funding/</w:t>
      </w:r>
      <w:r w:rsidR="00FA77BB" w:rsidRPr="006F1517">
        <w:rPr>
          <w:rFonts w:ascii="Arial" w:hAnsi="Arial" w:cs="Arial"/>
          <w:b/>
          <w:sz w:val="22"/>
          <w:szCs w:val="22"/>
        </w:rPr>
        <w:t>Budget:</w:t>
      </w:r>
    </w:p>
    <w:p w:rsidR="00D70B65" w:rsidRPr="006F1517" w:rsidRDefault="00D70B65" w:rsidP="00D70B65">
      <w:pPr>
        <w:rPr>
          <w:rFonts w:ascii="Arial" w:hAnsi="Arial" w:cs="Arial"/>
          <w:sz w:val="22"/>
          <w:szCs w:val="22"/>
        </w:rPr>
      </w:pPr>
    </w:p>
    <w:p w:rsidR="00D70B65" w:rsidRPr="006F1517" w:rsidRDefault="00D70B65" w:rsidP="00D70B65">
      <w:pPr>
        <w:numPr>
          <w:ilvl w:val="0"/>
          <w:numId w:val="1"/>
        </w:numPr>
        <w:rPr>
          <w:rFonts w:ascii="Arial" w:hAnsi="Arial" w:cs="Arial"/>
          <w:sz w:val="22"/>
          <w:szCs w:val="22"/>
        </w:rPr>
      </w:pPr>
      <w:r w:rsidRPr="006F1517">
        <w:rPr>
          <w:rFonts w:ascii="Arial" w:hAnsi="Arial" w:cs="Arial"/>
          <w:sz w:val="22"/>
          <w:szCs w:val="22"/>
        </w:rPr>
        <w:t xml:space="preserve">For FY 2010, the President recommended and the House provided $41.997 million, unfortunately the final bill included only $34 million. Funding between FY 2014 and FY 2016 has varied because of sequestration on other congressional action, but has been steady at $38.7 million for the past two years. </w:t>
      </w:r>
    </w:p>
    <w:p w:rsidR="00D70B65" w:rsidRPr="006F1517" w:rsidRDefault="00D70B65" w:rsidP="00D70B65">
      <w:pPr>
        <w:rPr>
          <w:rFonts w:ascii="Arial" w:hAnsi="Arial" w:cs="Arial"/>
          <w:b/>
          <w:sz w:val="22"/>
          <w:szCs w:val="22"/>
        </w:rPr>
      </w:pPr>
    </w:p>
    <w:p w:rsidR="00D70B65" w:rsidRPr="006F1517" w:rsidRDefault="00D70B65" w:rsidP="00D70B65">
      <w:pPr>
        <w:rPr>
          <w:rFonts w:ascii="Arial" w:hAnsi="Arial" w:cs="Arial"/>
          <w:b/>
          <w:sz w:val="22"/>
          <w:szCs w:val="22"/>
        </w:rPr>
      </w:pPr>
    </w:p>
    <w:p w:rsidR="00D70B65" w:rsidRPr="006F1517" w:rsidRDefault="00D70B65" w:rsidP="00D70B65"/>
    <w:p w:rsidR="009C52C6" w:rsidRDefault="009C52C6" w:rsidP="006D6C28">
      <w:pPr>
        <w:numPr>
          <w:ilvl w:val="0"/>
          <w:numId w:val="1"/>
        </w:numPr>
        <w:rPr>
          <w:rFonts w:ascii="Arial" w:hAnsi="Arial" w:cs="Arial"/>
          <w:sz w:val="22"/>
          <w:szCs w:val="22"/>
        </w:rPr>
      </w:pPr>
      <w:r w:rsidRPr="006F1517">
        <w:rPr>
          <w:rFonts w:ascii="Arial" w:hAnsi="Arial" w:cs="Arial"/>
          <w:sz w:val="22"/>
          <w:szCs w:val="22"/>
        </w:rPr>
        <w:t>GWEPs are funded under Title VII &amp; Title VIII of the Public Health Service Act.</w:t>
      </w:r>
      <w:r w:rsidR="006F1517">
        <w:rPr>
          <w:rFonts w:ascii="Arial" w:hAnsi="Arial" w:cs="Arial"/>
          <w:sz w:val="22"/>
          <w:szCs w:val="22"/>
        </w:rPr>
        <w:t xml:space="preserve"> </w:t>
      </w:r>
      <w:r w:rsidR="006D6C28" w:rsidRPr="006F1517">
        <w:rPr>
          <w:rFonts w:ascii="Arial" w:hAnsi="Arial" w:cs="Arial"/>
          <w:sz w:val="22"/>
          <w:szCs w:val="22"/>
        </w:rPr>
        <w:t xml:space="preserve"> In December 2014, HRSA combined the existing Title VIII Comprehensive Geriatric Education Program and the Title VII Geriatric Academic Career Award, Geriatric Education Centers, and Geriatric Training for Physicians, Dentists and Behavioral and Mental Health Providers programs into the Geriatrics Workforce Enhancement Program. The FY 2016 Omnibus appropriations bill also consolidated these programs, citing HRSA’s combined competition for the program. </w:t>
      </w:r>
      <w:r w:rsidR="006F1517">
        <w:rPr>
          <w:rFonts w:ascii="Arial" w:hAnsi="Arial" w:cs="Arial"/>
          <w:sz w:val="22"/>
          <w:szCs w:val="22"/>
        </w:rPr>
        <w:t xml:space="preserve"> </w:t>
      </w:r>
      <w:r w:rsidR="006D6C28" w:rsidRPr="006F1517">
        <w:rPr>
          <w:rFonts w:ascii="Arial" w:hAnsi="Arial" w:cs="Arial"/>
          <w:sz w:val="22"/>
          <w:szCs w:val="22"/>
        </w:rPr>
        <w:t>This resulted in the total appropriations of $38.7 million from the combined Title VII program funds of</w:t>
      </w:r>
      <w:r w:rsidR="006F1517">
        <w:rPr>
          <w:rFonts w:ascii="Arial" w:hAnsi="Arial" w:cs="Arial"/>
          <w:sz w:val="22"/>
          <w:szCs w:val="22"/>
        </w:rPr>
        <w:t xml:space="preserve"> </w:t>
      </w:r>
      <w:r w:rsidR="006D6C28" w:rsidRPr="006F1517">
        <w:rPr>
          <w:rFonts w:ascii="Arial" w:hAnsi="Arial" w:cs="Arial"/>
          <w:sz w:val="22"/>
          <w:szCs w:val="22"/>
        </w:rPr>
        <w:t>$34.2 million and the Comprehensive Geriatric Education funds of $4.5 million</w:t>
      </w:r>
      <w:r w:rsidR="006F1517">
        <w:rPr>
          <w:rFonts w:ascii="Arial" w:hAnsi="Arial" w:cs="Arial"/>
          <w:sz w:val="22"/>
          <w:szCs w:val="22"/>
        </w:rPr>
        <w:t>.</w:t>
      </w:r>
    </w:p>
    <w:p w:rsidR="006F1517" w:rsidRDefault="006F1517" w:rsidP="006F1517">
      <w:pPr>
        <w:rPr>
          <w:rFonts w:ascii="Arial" w:hAnsi="Arial" w:cs="Arial"/>
          <w:sz w:val="22"/>
          <w:szCs w:val="22"/>
        </w:rPr>
      </w:pPr>
    </w:p>
    <w:p w:rsidR="006F1517" w:rsidRPr="006F1517" w:rsidRDefault="006F1517" w:rsidP="006F1517">
      <w:pPr>
        <w:pStyle w:val="ListParagraph"/>
        <w:numPr>
          <w:ilvl w:val="0"/>
          <w:numId w:val="1"/>
        </w:numPr>
        <w:spacing w:after="201"/>
        <w:ind w:right="151"/>
        <w:rPr>
          <w:rFonts w:ascii="Arial" w:hAnsi="Arial" w:cs="Arial"/>
          <w:sz w:val="22"/>
          <w:szCs w:val="22"/>
        </w:rPr>
      </w:pPr>
      <w:r w:rsidRPr="006F1517">
        <w:rPr>
          <w:rFonts w:ascii="Arial" w:hAnsi="Arial" w:cs="Arial"/>
          <w:sz w:val="22"/>
          <w:szCs w:val="22"/>
        </w:rPr>
        <w:t xml:space="preserve">NAGE, the Eldercare Workforce Alliance, and the Leadership Council of Aging Organizations support at least $51 million in Fiscal Year 2018 to support geriatrics workforce training under the Geriatrics Workforce Enhancement Program administered by the Health Resources and Services Administration (HRSA). </w:t>
      </w:r>
    </w:p>
    <w:p w:rsidR="006F1517" w:rsidRPr="006F1517" w:rsidRDefault="006F1517" w:rsidP="00D70B65">
      <w:pPr>
        <w:pStyle w:val="ListParagraph"/>
        <w:ind w:left="360"/>
        <w:rPr>
          <w:rFonts w:ascii="Arial" w:hAnsi="Arial" w:cs="Arial"/>
          <w:sz w:val="22"/>
          <w:szCs w:val="22"/>
        </w:rPr>
      </w:pPr>
    </w:p>
    <w:p w:rsidR="009C52C6" w:rsidRPr="006F1517" w:rsidRDefault="009C52C6" w:rsidP="009C52C6">
      <w:pPr>
        <w:rPr>
          <w:rFonts w:ascii="Arial" w:hAnsi="Arial" w:cs="Arial"/>
          <w:sz w:val="22"/>
          <w:szCs w:val="22"/>
        </w:rPr>
      </w:pPr>
    </w:p>
    <w:sectPr w:rsidR="009C52C6" w:rsidRPr="006F1517" w:rsidSect="00A97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17E" w:rsidRDefault="00E2617E" w:rsidP="00BF1198">
      <w:r>
        <w:separator/>
      </w:r>
    </w:p>
  </w:endnote>
  <w:endnote w:type="continuationSeparator" w:id="0">
    <w:p w:rsidR="00E2617E" w:rsidRDefault="00E2617E" w:rsidP="00BF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17E" w:rsidRDefault="00E2617E" w:rsidP="00BF1198">
      <w:r>
        <w:separator/>
      </w:r>
    </w:p>
  </w:footnote>
  <w:footnote w:type="continuationSeparator" w:id="0">
    <w:p w:rsidR="00E2617E" w:rsidRDefault="00E2617E" w:rsidP="00BF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53B3"/>
    <w:multiLevelType w:val="hybridMultilevel"/>
    <w:tmpl w:val="515E0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907DA"/>
    <w:multiLevelType w:val="hybridMultilevel"/>
    <w:tmpl w:val="5E44C0D0"/>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161F5C4F"/>
    <w:multiLevelType w:val="hybridMultilevel"/>
    <w:tmpl w:val="45C29ADC"/>
    <w:lvl w:ilvl="0" w:tplc="0409000B">
      <w:start w:val="1"/>
      <w:numFmt w:val="bullet"/>
      <w:lvlText w:val=""/>
      <w:lvlJc w:val="left"/>
      <w:pPr>
        <w:tabs>
          <w:tab w:val="num" w:pos="360"/>
        </w:tabs>
        <w:ind w:left="360" w:hanging="360"/>
      </w:pPr>
      <w:rPr>
        <w:rFonts w:ascii="Wingdings" w:hAnsi="Wingdings" w:hint="default"/>
      </w:rPr>
    </w:lvl>
    <w:lvl w:ilvl="1" w:tplc="D5ACC1B4">
      <w:numFmt w:val="bullet"/>
      <w:lvlText w:val="-"/>
      <w:lvlJc w:val="left"/>
      <w:pPr>
        <w:tabs>
          <w:tab w:val="num" w:pos="1260"/>
        </w:tabs>
        <w:ind w:left="1260" w:hanging="360"/>
      </w:pPr>
      <w:rPr>
        <w:rFonts w:ascii="Times New Roman" w:eastAsia="Times New Roman" w:hAnsi="Times New Roman" w:hint="default"/>
      </w:rPr>
    </w:lvl>
    <w:lvl w:ilvl="2" w:tplc="0409000B">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B847D6D"/>
    <w:multiLevelType w:val="hybridMultilevel"/>
    <w:tmpl w:val="030A0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4"/>
    <w:rsid w:val="000142B0"/>
    <w:rsid w:val="00030E64"/>
    <w:rsid w:val="000D261A"/>
    <w:rsid w:val="001D6A9D"/>
    <w:rsid w:val="003448E4"/>
    <w:rsid w:val="00425072"/>
    <w:rsid w:val="004A7808"/>
    <w:rsid w:val="00504031"/>
    <w:rsid w:val="00695A81"/>
    <w:rsid w:val="006C20CB"/>
    <w:rsid w:val="006D6C28"/>
    <w:rsid w:val="006F1517"/>
    <w:rsid w:val="0072275C"/>
    <w:rsid w:val="009C52C6"/>
    <w:rsid w:val="009E0579"/>
    <w:rsid w:val="00A40FE6"/>
    <w:rsid w:val="00A97F46"/>
    <w:rsid w:val="00BC24AD"/>
    <w:rsid w:val="00BC6CCA"/>
    <w:rsid w:val="00BF1198"/>
    <w:rsid w:val="00C03CE6"/>
    <w:rsid w:val="00CF6A3A"/>
    <w:rsid w:val="00D70B65"/>
    <w:rsid w:val="00E2617E"/>
    <w:rsid w:val="00E355FF"/>
    <w:rsid w:val="00F53CD2"/>
    <w:rsid w:val="00FA482E"/>
    <w:rsid w:val="00FA77BB"/>
    <w:rsid w:val="00FD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D65E11"/>
  <w15:docId w15:val="{E391AE2D-8398-49D4-AD63-3285BCD7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6F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072"/>
    <w:pPr>
      <w:ind w:left="720"/>
    </w:pPr>
  </w:style>
  <w:style w:type="paragraph" w:customStyle="1" w:styleId="Default">
    <w:name w:val="Default"/>
    <w:rsid w:val="0072275C"/>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BF1198"/>
    <w:pPr>
      <w:tabs>
        <w:tab w:val="center" w:pos="4680"/>
        <w:tab w:val="right" w:pos="9360"/>
      </w:tabs>
    </w:pPr>
  </w:style>
  <w:style w:type="character" w:customStyle="1" w:styleId="HeaderChar">
    <w:name w:val="Header Char"/>
    <w:basedOn w:val="DefaultParagraphFont"/>
    <w:link w:val="Header"/>
    <w:uiPriority w:val="99"/>
    <w:rsid w:val="00BF1198"/>
    <w:rPr>
      <w:rFonts w:ascii="Times New Roman" w:eastAsia="Times New Roman" w:hAnsi="Times New Roman"/>
      <w:sz w:val="24"/>
      <w:szCs w:val="24"/>
    </w:rPr>
  </w:style>
  <w:style w:type="paragraph" w:styleId="Footer">
    <w:name w:val="footer"/>
    <w:basedOn w:val="Normal"/>
    <w:link w:val="FooterChar"/>
    <w:uiPriority w:val="99"/>
    <w:unhideWhenUsed/>
    <w:rsid w:val="00BF1198"/>
    <w:pPr>
      <w:tabs>
        <w:tab w:val="center" w:pos="4680"/>
        <w:tab w:val="right" w:pos="9360"/>
      </w:tabs>
    </w:pPr>
  </w:style>
  <w:style w:type="character" w:customStyle="1" w:styleId="FooterChar">
    <w:name w:val="Footer Char"/>
    <w:basedOn w:val="DefaultParagraphFont"/>
    <w:link w:val="Footer"/>
    <w:uiPriority w:val="99"/>
    <w:rsid w:val="00BF1198"/>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35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5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Lindberg</dc:creator>
  <cp:keywords/>
  <dc:description/>
  <cp:lastModifiedBy>Brian Lindberg</cp:lastModifiedBy>
  <cp:revision>3</cp:revision>
  <cp:lastPrinted>2017-04-07T13:27:00Z</cp:lastPrinted>
  <dcterms:created xsi:type="dcterms:W3CDTF">2017-04-10T19:26:00Z</dcterms:created>
  <dcterms:modified xsi:type="dcterms:W3CDTF">2017-04-10T19:55:00Z</dcterms:modified>
</cp:coreProperties>
</file>