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0B" w:rsidRPr="00BA7DED" w:rsidRDefault="0091470B" w:rsidP="0091470B">
      <w:pPr>
        <w:pBdr>
          <w:bottom w:val="double" w:sz="6" w:space="1" w:color="auto"/>
        </w:pBdr>
        <w:tabs>
          <w:tab w:val="center" w:pos="4680"/>
        </w:tabs>
        <w:suppressAutoHyphens/>
        <w:rPr>
          <w:rFonts w:asciiTheme="majorHAnsi" w:hAnsiTheme="majorHAnsi" w:cs="Tahoma"/>
          <w:b/>
          <w:spacing w:val="-3"/>
          <w:sz w:val="28"/>
        </w:rPr>
      </w:pPr>
      <w:bookmarkStart w:id="0" w:name="_GoBack"/>
      <w:bookmarkEnd w:id="0"/>
    </w:p>
    <w:p w:rsidR="0091470B" w:rsidRPr="00BA7DED" w:rsidRDefault="0091470B" w:rsidP="0091470B">
      <w:pPr>
        <w:pBdr>
          <w:bottom w:val="double" w:sz="4" w:space="1" w:color="auto"/>
        </w:pBdr>
        <w:spacing w:line="240" w:lineRule="auto"/>
        <w:contextualSpacing/>
        <w:jc w:val="center"/>
        <w:rPr>
          <w:rFonts w:asciiTheme="majorHAnsi" w:hAnsiTheme="majorHAnsi" w:cs="Tahoma"/>
          <w:b/>
          <w:sz w:val="28"/>
          <w:szCs w:val="32"/>
        </w:rPr>
      </w:pPr>
      <w:r w:rsidRPr="00BA7DED">
        <w:rPr>
          <w:rFonts w:asciiTheme="majorHAnsi" w:hAnsiTheme="majorHAnsi" w:cs="Tahoma"/>
          <w:b/>
          <w:sz w:val="28"/>
          <w:szCs w:val="32"/>
        </w:rPr>
        <w:t>Public Policy Update – February 2015</w:t>
      </w:r>
    </w:p>
    <w:p w:rsidR="0091470B" w:rsidRPr="00BA7DED" w:rsidRDefault="0091470B" w:rsidP="0091470B">
      <w:pPr>
        <w:pBdr>
          <w:bottom w:val="double" w:sz="4" w:space="1" w:color="auto"/>
        </w:pBdr>
        <w:spacing w:line="240" w:lineRule="auto"/>
        <w:contextualSpacing/>
        <w:jc w:val="center"/>
        <w:rPr>
          <w:rFonts w:asciiTheme="majorHAnsi" w:hAnsiTheme="majorHAnsi" w:cs="Tahoma"/>
          <w:b/>
          <w:sz w:val="28"/>
        </w:rPr>
      </w:pPr>
      <w:r w:rsidRPr="00BA7DED">
        <w:rPr>
          <w:rFonts w:asciiTheme="majorHAnsi" w:hAnsiTheme="majorHAnsi" w:cs="Tahoma"/>
          <w:b/>
          <w:sz w:val="28"/>
        </w:rPr>
        <w:t>By Brian Lindberg and Marly Flores</w:t>
      </w:r>
    </w:p>
    <w:p w:rsidR="0091470B" w:rsidRPr="00BA7DED" w:rsidRDefault="0091470B" w:rsidP="0091470B">
      <w:pPr>
        <w:pBdr>
          <w:bottom w:val="double" w:sz="4" w:space="1" w:color="auto"/>
        </w:pBdr>
        <w:spacing w:line="240" w:lineRule="auto"/>
        <w:contextualSpacing/>
        <w:jc w:val="center"/>
        <w:rPr>
          <w:rFonts w:asciiTheme="majorHAnsi" w:hAnsiTheme="majorHAnsi" w:cs="Tahoma"/>
          <w:b/>
        </w:rPr>
      </w:pPr>
    </w:p>
    <w:p w:rsidR="0091470B" w:rsidRPr="00BA7DED" w:rsidRDefault="0091470B" w:rsidP="0091470B">
      <w:pPr>
        <w:spacing w:line="240" w:lineRule="auto"/>
        <w:contextualSpacing/>
        <w:rPr>
          <w:rFonts w:asciiTheme="majorHAnsi" w:hAnsiTheme="majorHAnsi"/>
        </w:rPr>
      </w:pPr>
    </w:p>
    <w:p w:rsidR="0091470B" w:rsidRPr="00BA7DED" w:rsidRDefault="0091470B" w:rsidP="0091470B">
      <w:pPr>
        <w:pStyle w:val="NormalWeb"/>
        <w:shd w:val="clear" w:color="auto" w:fill="FFFFFF"/>
        <w:spacing w:before="0" w:beforeAutospacing="0" w:after="0" w:afterAutospacing="0"/>
        <w:rPr>
          <w:rStyle w:val="Strong"/>
          <w:rFonts w:asciiTheme="majorHAnsi" w:eastAsia="Calibri" w:hAnsiTheme="majorHAnsi"/>
          <w:szCs w:val="22"/>
        </w:rPr>
      </w:pPr>
      <w:r w:rsidRPr="00BA7DED">
        <w:rPr>
          <w:rFonts w:asciiTheme="majorHAnsi" w:hAnsiTheme="majorHAnsi"/>
          <w:b/>
          <w:u w:val="single"/>
        </w:rPr>
        <w:t>Big Picture</w:t>
      </w:r>
      <w:r w:rsidRPr="00BA7DED">
        <w:rPr>
          <w:rStyle w:val="Strong"/>
          <w:rFonts w:asciiTheme="majorHAnsi" w:hAnsiTheme="majorHAnsi"/>
          <w:color w:val="222222"/>
          <w:szCs w:val="22"/>
        </w:rPr>
        <w:t xml:space="preserve"> </w:t>
      </w:r>
    </w:p>
    <w:p w:rsidR="00226650" w:rsidRDefault="00072220" w:rsidP="0091470B">
      <w:pPr>
        <w:spacing w:line="240" w:lineRule="auto"/>
        <w:contextualSpacing/>
        <w:rPr>
          <w:rFonts w:asciiTheme="majorHAnsi" w:hAnsiTheme="majorHAnsi"/>
          <w:sz w:val="24"/>
        </w:rPr>
      </w:pPr>
      <w:r>
        <w:rPr>
          <w:rFonts w:asciiTheme="majorHAnsi" w:hAnsiTheme="majorHAnsi"/>
          <w:sz w:val="24"/>
        </w:rPr>
        <w:t xml:space="preserve">The death of Supreme Court Justice Antonio Scalia, a leading conservative voice on the </w:t>
      </w:r>
      <w:r w:rsidR="00ED5DC7">
        <w:rPr>
          <w:rFonts w:asciiTheme="majorHAnsi" w:hAnsiTheme="majorHAnsi"/>
          <w:sz w:val="24"/>
        </w:rPr>
        <w:t>Supreme Court</w:t>
      </w:r>
      <w:r>
        <w:rPr>
          <w:rFonts w:asciiTheme="majorHAnsi" w:hAnsiTheme="majorHAnsi"/>
          <w:sz w:val="24"/>
        </w:rPr>
        <w:t>, has se</w:t>
      </w:r>
      <w:r w:rsidR="0054574D">
        <w:rPr>
          <w:rFonts w:asciiTheme="majorHAnsi" w:hAnsiTheme="majorHAnsi"/>
          <w:sz w:val="24"/>
        </w:rPr>
        <w:t>t off a mammoth debate over whether President Obama should be allowed to replace him</w:t>
      </w:r>
      <w:r>
        <w:rPr>
          <w:rFonts w:asciiTheme="majorHAnsi" w:hAnsiTheme="majorHAnsi"/>
          <w:sz w:val="24"/>
        </w:rPr>
        <w:t xml:space="preserve">. In the heat of a presidential election cycle, </w:t>
      </w:r>
      <w:r w:rsidR="00226650">
        <w:rPr>
          <w:rFonts w:asciiTheme="majorHAnsi" w:hAnsiTheme="majorHAnsi"/>
          <w:sz w:val="24"/>
        </w:rPr>
        <w:t xml:space="preserve">Senate </w:t>
      </w:r>
      <w:r>
        <w:rPr>
          <w:rFonts w:asciiTheme="majorHAnsi" w:hAnsiTheme="majorHAnsi"/>
          <w:sz w:val="24"/>
        </w:rPr>
        <w:t>majority leaders</w:t>
      </w:r>
      <w:r w:rsidR="0054574D">
        <w:rPr>
          <w:rFonts w:asciiTheme="majorHAnsi" w:hAnsiTheme="majorHAnsi"/>
          <w:sz w:val="24"/>
        </w:rPr>
        <w:t>hip</w:t>
      </w:r>
      <w:r w:rsidR="00DA2C6D">
        <w:rPr>
          <w:rFonts w:asciiTheme="majorHAnsi" w:hAnsiTheme="majorHAnsi"/>
          <w:sz w:val="24"/>
        </w:rPr>
        <w:t xml:space="preserve">, including Senate Judiciary Committee Chairman Chuck Grassley (R-IA), </w:t>
      </w:r>
      <w:r w:rsidR="009A6BF6">
        <w:rPr>
          <w:rFonts w:asciiTheme="majorHAnsi" w:hAnsiTheme="majorHAnsi"/>
          <w:sz w:val="24"/>
        </w:rPr>
        <w:t>is</w:t>
      </w:r>
      <w:r w:rsidR="00226650">
        <w:rPr>
          <w:rFonts w:asciiTheme="majorHAnsi" w:hAnsiTheme="majorHAnsi"/>
          <w:sz w:val="24"/>
        </w:rPr>
        <w:t xml:space="preserve"> </w:t>
      </w:r>
      <w:r w:rsidR="0054574D">
        <w:rPr>
          <w:rFonts w:asciiTheme="majorHAnsi" w:hAnsiTheme="majorHAnsi"/>
          <w:sz w:val="24"/>
        </w:rPr>
        <w:t xml:space="preserve">committed to holding off on considering or confirming </w:t>
      </w:r>
      <w:r w:rsidR="00226650">
        <w:rPr>
          <w:rFonts w:asciiTheme="majorHAnsi" w:hAnsiTheme="majorHAnsi"/>
          <w:sz w:val="24"/>
        </w:rPr>
        <w:t>anyone nominated by President Obama.</w:t>
      </w:r>
      <w:r w:rsidR="00DA2C6D">
        <w:rPr>
          <w:rFonts w:asciiTheme="majorHAnsi" w:hAnsiTheme="majorHAnsi"/>
          <w:sz w:val="24"/>
        </w:rPr>
        <w:t xml:space="preserve"> </w:t>
      </w:r>
    </w:p>
    <w:p w:rsidR="0054574D" w:rsidRDefault="0054574D" w:rsidP="0091470B">
      <w:pPr>
        <w:spacing w:line="240" w:lineRule="auto"/>
        <w:contextualSpacing/>
        <w:rPr>
          <w:rFonts w:asciiTheme="majorHAnsi" w:hAnsiTheme="majorHAnsi"/>
          <w:sz w:val="24"/>
        </w:rPr>
      </w:pPr>
    </w:p>
    <w:p w:rsidR="009A6BF6" w:rsidRDefault="0054574D" w:rsidP="0091470B">
      <w:pPr>
        <w:spacing w:line="240" w:lineRule="auto"/>
        <w:contextualSpacing/>
        <w:rPr>
          <w:rFonts w:asciiTheme="majorHAnsi" w:hAnsiTheme="majorHAnsi"/>
          <w:sz w:val="24"/>
        </w:rPr>
      </w:pPr>
      <w:r>
        <w:rPr>
          <w:rFonts w:asciiTheme="majorHAnsi" w:hAnsiTheme="majorHAnsi"/>
          <w:sz w:val="24"/>
        </w:rPr>
        <w:t>In addition to the potential shift in the “balance’ of the court and the e</w:t>
      </w:r>
      <w:r w:rsidR="00E84463">
        <w:rPr>
          <w:rFonts w:asciiTheme="majorHAnsi" w:hAnsiTheme="majorHAnsi"/>
          <w:sz w:val="24"/>
        </w:rPr>
        <w:t xml:space="preserve">ffect </w:t>
      </w:r>
      <w:r>
        <w:rPr>
          <w:rFonts w:asciiTheme="majorHAnsi" w:hAnsiTheme="majorHAnsi"/>
          <w:sz w:val="24"/>
        </w:rPr>
        <w:t xml:space="preserve">on </w:t>
      </w:r>
      <w:r w:rsidR="00E84463">
        <w:rPr>
          <w:rFonts w:asciiTheme="majorHAnsi" w:hAnsiTheme="majorHAnsi"/>
          <w:sz w:val="24"/>
        </w:rPr>
        <w:t xml:space="preserve">the outcomes of several cases related to health care this year, </w:t>
      </w:r>
      <w:r>
        <w:rPr>
          <w:rFonts w:asciiTheme="majorHAnsi" w:hAnsiTheme="majorHAnsi"/>
          <w:sz w:val="24"/>
        </w:rPr>
        <w:t>this additional conflict between political par</w:t>
      </w:r>
      <w:r w:rsidR="009A6BF6">
        <w:rPr>
          <w:rFonts w:asciiTheme="majorHAnsi" w:hAnsiTheme="majorHAnsi"/>
          <w:sz w:val="24"/>
        </w:rPr>
        <w:t>ties</w:t>
      </w:r>
      <w:r>
        <w:rPr>
          <w:rFonts w:asciiTheme="majorHAnsi" w:hAnsiTheme="majorHAnsi"/>
          <w:sz w:val="24"/>
        </w:rPr>
        <w:t xml:space="preserve"> may have ramifications for the rest of the congressional agenda this year</w:t>
      </w:r>
      <w:r w:rsidR="009A6BF6">
        <w:rPr>
          <w:rFonts w:asciiTheme="majorHAnsi" w:hAnsiTheme="majorHAnsi"/>
          <w:sz w:val="24"/>
        </w:rPr>
        <w:t xml:space="preserve"> depending on how Senate Democrats respond</w:t>
      </w:r>
      <w:r>
        <w:rPr>
          <w:rFonts w:asciiTheme="majorHAnsi" w:hAnsiTheme="majorHAnsi"/>
          <w:sz w:val="24"/>
        </w:rPr>
        <w:t>.</w:t>
      </w:r>
      <w:r w:rsidR="009A6BF6">
        <w:rPr>
          <w:rFonts w:asciiTheme="majorHAnsi" w:hAnsiTheme="majorHAnsi"/>
          <w:sz w:val="24"/>
        </w:rPr>
        <w:t xml:space="preserve"> </w:t>
      </w:r>
    </w:p>
    <w:p w:rsidR="00182015" w:rsidRPr="00BA7DED" w:rsidRDefault="0054574D" w:rsidP="0091470B">
      <w:pPr>
        <w:spacing w:line="240" w:lineRule="auto"/>
        <w:contextualSpacing/>
        <w:rPr>
          <w:rFonts w:asciiTheme="majorHAnsi" w:hAnsiTheme="majorHAnsi"/>
          <w:b/>
          <w:sz w:val="24"/>
          <w:u w:val="single"/>
        </w:rPr>
      </w:pPr>
      <w:r w:rsidRPr="00BA7DED">
        <w:rPr>
          <w:rFonts w:asciiTheme="majorHAnsi" w:hAnsiTheme="majorHAnsi"/>
          <w:b/>
          <w:sz w:val="24"/>
          <w:u w:val="single"/>
        </w:rPr>
        <w:t xml:space="preserve"> </w:t>
      </w:r>
    </w:p>
    <w:p w:rsidR="0091470B" w:rsidRPr="00BA7DED" w:rsidRDefault="0091470B" w:rsidP="0091470B">
      <w:pPr>
        <w:spacing w:line="240" w:lineRule="auto"/>
        <w:contextualSpacing/>
        <w:rPr>
          <w:rFonts w:asciiTheme="majorHAnsi" w:hAnsiTheme="majorHAnsi"/>
          <w:b/>
          <w:sz w:val="24"/>
          <w:u w:val="single"/>
        </w:rPr>
      </w:pPr>
      <w:r w:rsidRPr="00BA7DED">
        <w:rPr>
          <w:rFonts w:asciiTheme="majorHAnsi" w:hAnsiTheme="majorHAnsi"/>
          <w:b/>
          <w:sz w:val="24"/>
          <w:u w:val="single"/>
        </w:rPr>
        <w:t>President’s FY 2017 Budget Proposal</w:t>
      </w:r>
    </w:p>
    <w:p w:rsidR="005F7445" w:rsidRPr="00BA7DED" w:rsidRDefault="0091470B" w:rsidP="0091470B">
      <w:pPr>
        <w:rPr>
          <w:rFonts w:asciiTheme="majorHAnsi" w:hAnsiTheme="majorHAnsi"/>
          <w:sz w:val="24"/>
          <w:szCs w:val="24"/>
        </w:rPr>
      </w:pPr>
      <w:r w:rsidRPr="00BA7DED">
        <w:rPr>
          <w:rFonts w:asciiTheme="majorHAnsi" w:hAnsiTheme="majorHAnsi"/>
          <w:sz w:val="24"/>
          <w:szCs w:val="24"/>
        </w:rPr>
        <w:t>The Obama Administration released its final budget proposal that calls for $4.1 trillion in spending in Fiscal Year (FY) 2017. The FY 2017 budget follows the budget caps signed into law last fall under the Bipartisan Budget Agreement (BBA), which increased spending by $80 billion for FY 2016 and FY 2017. The Budget does lift the threat of sequestration in FY 2018 and beyond.</w:t>
      </w:r>
      <w:r w:rsidR="005F7445" w:rsidRPr="00BA7DED">
        <w:rPr>
          <w:rFonts w:asciiTheme="majorHAnsi" w:hAnsiTheme="majorHAnsi"/>
          <w:sz w:val="24"/>
          <w:szCs w:val="24"/>
        </w:rPr>
        <w:t xml:space="preserve"> Read more </w:t>
      </w:r>
      <w:hyperlink r:id="rId8" w:history="1">
        <w:r w:rsidR="005F7445" w:rsidRPr="00BA7DED">
          <w:rPr>
            <w:rStyle w:val="Hyperlink"/>
            <w:rFonts w:asciiTheme="majorHAnsi" w:hAnsiTheme="majorHAnsi"/>
            <w:sz w:val="24"/>
            <w:szCs w:val="24"/>
          </w:rPr>
          <w:t>here</w:t>
        </w:r>
      </w:hyperlink>
      <w:r w:rsidR="005F7445" w:rsidRPr="00BA7DED">
        <w:rPr>
          <w:rFonts w:asciiTheme="majorHAnsi" w:hAnsiTheme="majorHAnsi"/>
          <w:sz w:val="24"/>
          <w:szCs w:val="24"/>
        </w:rPr>
        <w:t xml:space="preserve"> and </w:t>
      </w:r>
      <w:hyperlink r:id="rId9" w:history="1">
        <w:r w:rsidR="005F7445" w:rsidRPr="00BA7DED">
          <w:rPr>
            <w:rStyle w:val="Hyperlink"/>
            <w:rFonts w:asciiTheme="majorHAnsi" w:hAnsiTheme="majorHAnsi"/>
            <w:sz w:val="24"/>
            <w:szCs w:val="24"/>
          </w:rPr>
          <w:t>here.</w:t>
        </w:r>
      </w:hyperlink>
      <w:r w:rsidR="005F7445" w:rsidRPr="00BA7DED">
        <w:rPr>
          <w:rFonts w:asciiTheme="majorHAnsi" w:hAnsiTheme="majorHAnsi"/>
          <w:sz w:val="24"/>
          <w:szCs w:val="24"/>
        </w:rPr>
        <w:t xml:space="preserve"> </w:t>
      </w:r>
      <w:r w:rsidR="007135B9">
        <w:rPr>
          <w:rFonts w:asciiTheme="majorHAnsi" w:hAnsiTheme="majorHAnsi"/>
          <w:sz w:val="24"/>
          <w:szCs w:val="24"/>
        </w:rPr>
        <w:t xml:space="preserve">Read </w:t>
      </w:r>
      <w:r w:rsidR="002C2E17">
        <w:rPr>
          <w:rFonts w:asciiTheme="majorHAnsi" w:hAnsiTheme="majorHAnsi"/>
          <w:sz w:val="24"/>
          <w:szCs w:val="24"/>
        </w:rPr>
        <w:t xml:space="preserve">LCAO’s letter to the House and the Senate responding to President Obama’s FY 2017 Budget, </w:t>
      </w:r>
      <w:hyperlink r:id="rId10" w:history="1">
        <w:r w:rsidR="002C2E17">
          <w:rPr>
            <w:rStyle w:val="Hyperlink"/>
            <w:rFonts w:asciiTheme="majorHAnsi" w:hAnsiTheme="majorHAnsi"/>
            <w:sz w:val="24"/>
            <w:szCs w:val="24"/>
          </w:rPr>
          <w:t>here.</w:t>
        </w:r>
      </w:hyperlink>
      <w:r w:rsidR="002C2E17">
        <w:rPr>
          <w:rFonts w:asciiTheme="majorHAnsi" w:hAnsiTheme="majorHAnsi"/>
          <w:sz w:val="24"/>
          <w:szCs w:val="24"/>
        </w:rPr>
        <w:t xml:space="preserve"> </w:t>
      </w:r>
      <w:r w:rsidR="00BA76B4">
        <w:rPr>
          <w:rFonts w:asciiTheme="majorHAnsi" w:hAnsiTheme="majorHAnsi"/>
          <w:sz w:val="24"/>
          <w:szCs w:val="24"/>
        </w:rPr>
        <w:t>See the attached chart for details on health and aging programs.</w:t>
      </w:r>
    </w:p>
    <w:p w:rsidR="0091470B" w:rsidRPr="00BA7DED" w:rsidRDefault="0091470B" w:rsidP="0091470B">
      <w:pPr>
        <w:rPr>
          <w:rFonts w:asciiTheme="majorHAnsi" w:hAnsiTheme="majorHAnsi"/>
          <w:sz w:val="24"/>
          <w:szCs w:val="24"/>
        </w:rPr>
      </w:pPr>
      <w:r w:rsidRPr="00BA7DED">
        <w:rPr>
          <w:rFonts w:asciiTheme="majorHAnsi" w:hAnsiTheme="majorHAnsi"/>
          <w:sz w:val="24"/>
          <w:szCs w:val="24"/>
        </w:rPr>
        <w:t xml:space="preserve">Highlights: </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Increased funding for III B Home and Community-Based Supportive Services and III C Nutrition</w:t>
      </w:r>
      <w:r w:rsidR="001D5A9A">
        <w:rPr>
          <w:rFonts w:asciiTheme="majorHAnsi" w:hAnsiTheme="majorHAnsi"/>
        </w:rPr>
        <w:t xml:space="preserve"> Services totaled $24.4 million, but flat funding for many programs.</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A $2 million increase for the Elder Justice Initiative</w:t>
      </w:r>
      <w:r w:rsidR="001D5A9A">
        <w:rPr>
          <w:rFonts w:asciiTheme="majorHAnsi" w:hAnsiTheme="majorHAnsi"/>
        </w:rPr>
        <w:t xml:space="preserve"> from $8 million to $10 million, but which is less than the $25 million he proposed last year</w:t>
      </w:r>
      <w:r w:rsidRPr="00BA7DED">
        <w:rPr>
          <w:rFonts w:asciiTheme="majorHAnsi" w:hAnsiTheme="majorHAnsi"/>
        </w:rPr>
        <w:t xml:space="preserve">. </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 xml:space="preserve">No cuts to the Senior Community Services Employment Program (SCSEP). SCSEP will remain level funded at </w:t>
      </w:r>
      <w:r w:rsidR="005F7445" w:rsidRPr="00BA7DED">
        <w:rPr>
          <w:rFonts w:asciiTheme="majorHAnsi" w:hAnsiTheme="majorHAnsi"/>
        </w:rPr>
        <w:t>$434 million.</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 xml:space="preserve">Spending for the Department of Health and Human Services would increase to $1.1 trillion that would add mandatory spending for cancer research and fighting drug addictions. </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 xml:space="preserve">Supports the “Moonshot” initiative to eliminate cancer. The budget provides $1 billion to this initiative. </w:t>
      </w:r>
    </w:p>
    <w:p w:rsidR="0091470B" w:rsidRPr="00BA7DED" w:rsidRDefault="0091470B" w:rsidP="0091470B">
      <w:pPr>
        <w:pStyle w:val="ListParagraph"/>
        <w:numPr>
          <w:ilvl w:val="0"/>
          <w:numId w:val="3"/>
        </w:numPr>
        <w:rPr>
          <w:rFonts w:asciiTheme="majorHAnsi" w:hAnsiTheme="majorHAnsi"/>
        </w:rPr>
      </w:pPr>
      <w:r w:rsidRPr="00BA7DED">
        <w:rPr>
          <w:rFonts w:asciiTheme="majorHAnsi" w:hAnsiTheme="majorHAnsi"/>
        </w:rPr>
        <w:t>Care Act. It would allow the federal government to pay for cost of expansion for three years.</w:t>
      </w:r>
    </w:p>
    <w:p w:rsidR="006E75A6" w:rsidRPr="00BA7DED" w:rsidRDefault="0091470B" w:rsidP="0091470B">
      <w:pPr>
        <w:pStyle w:val="ListParagraph"/>
        <w:numPr>
          <w:ilvl w:val="0"/>
          <w:numId w:val="3"/>
        </w:numPr>
        <w:rPr>
          <w:rFonts w:asciiTheme="majorHAnsi" w:hAnsiTheme="majorHAnsi"/>
        </w:rPr>
      </w:pPr>
      <w:r w:rsidRPr="00BA7DED">
        <w:rPr>
          <w:rFonts w:asciiTheme="majorHAnsi" w:hAnsiTheme="majorHAnsi"/>
        </w:rPr>
        <w:lastRenderedPageBreak/>
        <w:t>Proposes several steps to address the escalating price of prescription drugs. The government would require pharmaceutical companies to disclose the cost of researching and developing drugs.</w:t>
      </w:r>
    </w:p>
    <w:p w:rsidR="005F7445" w:rsidRPr="00BA7DED" w:rsidRDefault="005F7445" w:rsidP="005F7445">
      <w:pPr>
        <w:pStyle w:val="ListParagraph"/>
        <w:rPr>
          <w:rFonts w:asciiTheme="majorHAnsi" w:hAnsiTheme="majorHAnsi"/>
        </w:rPr>
      </w:pPr>
    </w:p>
    <w:p w:rsidR="00623EB0" w:rsidRDefault="00623EB0" w:rsidP="0091470B">
      <w:pPr>
        <w:tabs>
          <w:tab w:val="left" w:pos="7944"/>
        </w:tabs>
        <w:rPr>
          <w:rFonts w:asciiTheme="majorHAnsi" w:hAnsiTheme="majorHAnsi"/>
          <w:b/>
          <w:sz w:val="24"/>
          <w:szCs w:val="24"/>
          <w:u w:val="single"/>
        </w:rPr>
      </w:pPr>
      <w:r>
        <w:rPr>
          <w:rFonts w:asciiTheme="majorHAnsi" w:hAnsiTheme="majorHAnsi"/>
          <w:b/>
          <w:sz w:val="24"/>
          <w:szCs w:val="24"/>
          <w:u w:val="single"/>
        </w:rPr>
        <w:t>Older Americans Act</w:t>
      </w:r>
    </w:p>
    <w:p w:rsidR="00623EB0" w:rsidRDefault="00623EB0" w:rsidP="0091470B">
      <w:pPr>
        <w:tabs>
          <w:tab w:val="left" w:pos="7944"/>
        </w:tabs>
        <w:rPr>
          <w:rFonts w:asciiTheme="majorHAnsi" w:hAnsiTheme="majorHAnsi"/>
          <w:sz w:val="24"/>
          <w:szCs w:val="24"/>
        </w:rPr>
      </w:pPr>
      <w:r>
        <w:rPr>
          <w:rFonts w:asciiTheme="majorHAnsi" w:hAnsiTheme="majorHAnsi"/>
          <w:sz w:val="24"/>
          <w:szCs w:val="24"/>
        </w:rPr>
        <w:t xml:space="preserve">The Older Americans Act reauthorization remains in the hands of the Education and Workforce Committee in the House. </w:t>
      </w:r>
      <w:r w:rsidR="006663D6">
        <w:rPr>
          <w:rFonts w:asciiTheme="majorHAnsi" w:hAnsiTheme="majorHAnsi"/>
          <w:sz w:val="24"/>
          <w:szCs w:val="24"/>
        </w:rPr>
        <w:t>Staff continues</w:t>
      </w:r>
      <w:r>
        <w:rPr>
          <w:rFonts w:asciiTheme="majorHAnsi" w:hAnsiTheme="majorHAnsi"/>
          <w:sz w:val="24"/>
          <w:szCs w:val="24"/>
        </w:rPr>
        <w:t xml:space="preserve"> to </w:t>
      </w:r>
      <w:r w:rsidR="006663D6">
        <w:rPr>
          <w:rFonts w:asciiTheme="majorHAnsi" w:hAnsiTheme="majorHAnsi"/>
          <w:sz w:val="24"/>
          <w:szCs w:val="24"/>
        </w:rPr>
        <w:t>negotiate</w:t>
      </w:r>
      <w:r>
        <w:rPr>
          <w:rFonts w:asciiTheme="majorHAnsi" w:hAnsiTheme="majorHAnsi"/>
          <w:sz w:val="24"/>
          <w:szCs w:val="24"/>
        </w:rPr>
        <w:t xml:space="preserve"> over the issue of authorization funding levels. The House will not accept the Senate bill’s use of “such sums as may be necessary.” It is our understanding that House Republicans will support some increases, but not the levels that the Democrats have requested. The Leadership Council of Aging Organizations recently supported an effort to have House Members send a “Dear Colleague” letter to the Committee to push for action.</w:t>
      </w:r>
      <w:r w:rsidR="006663D6">
        <w:rPr>
          <w:rFonts w:asciiTheme="majorHAnsi" w:hAnsiTheme="majorHAnsi"/>
          <w:sz w:val="24"/>
          <w:szCs w:val="24"/>
        </w:rPr>
        <w:t xml:space="preserve"> See attached. The LCAO is also planning briefings for staff on the Hill regarding the OAA.</w:t>
      </w:r>
    </w:p>
    <w:p w:rsidR="00623EB0" w:rsidRPr="00623EB0" w:rsidRDefault="00623EB0" w:rsidP="0091470B">
      <w:pPr>
        <w:tabs>
          <w:tab w:val="left" w:pos="7944"/>
        </w:tabs>
        <w:rPr>
          <w:rFonts w:asciiTheme="majorHAnsi" w:hAnsiTheme="majorHAnsi"/>
          <w:sz w:val="24"/>
          <w:szCs w:val="24"/>
        </w:rPr>
      </w:pPr>
      <w:r>
        <w:rPr>
          <w:rFonts w:asciiTheme="majorHAnsi" w:hAnsiTheme="majorHAnsi"/>
          <w:sz w:val="24"/>
          <w:szCs w:val="24"/>
        </w:rPr>
        <w:t xml:space="preserve">In addition, Senator Sanders (D-VT) is circulating the attached letter asking for support for a twelve percent increase in appropriations for the OAA. </w:t>
      </w:r>
    </w:p>
    <w:p w:rsidR="0091470B" w:rsidRPr="00BA7DED" w:rsidRDefault="005F7445" w:rsidP="0091470B">
      <w:pPr>
        <w:tabs>
          <w:tab w:val="left" w:pos="7944"/>
        </w:tabs>
        <w:rPr>
          <w:rFonts w:asciiTheme="majorHAnsi" w:hAnsiTheme="majorHAnsi"/>
          <w:b/>
          <w:sz w:val="24"/>
          <w:szCs w:val="24"/>
          <w:u w:val="single"/>
        </w:rPr>
      </w:pPr>
      <w:r w:rsidRPr="00BA7DED">
        <w:rPr>
          <w:rFonts w:asciiTheme="majorHAnsi" w:hAnsiTheme="majorHAnsi"/>
          <w:b/>
          <w:sz w:val="24"/>
          <w:szCs w:val="24"/>
          <w:u w:val="single"/>
        </w:rPr>
        <w:t>Approval Process for Prescription Painkillers</w:t>
      </w:r>
    </w:p>
    <w:p w:rsidR="00933FDD" w:rsidRPr="00BA7DED" w:rsidRDefault="005F7445" w:rsidP="0091470B">
      <w:pPr>
        <w:tabs>
          <w:tab w:val="left" w:pos="7944"/>
        </w:tabs>
        <w:rPr>
          <w:rFonts w:asciiTheme="majorHAnsi" w:hAnsiTheme="majorHAnsi"/>
          <w:sz w:val="24"/>
          <w:szCs w:val="24"/>
        </w:rPr>
      </w:pPr>
      <w:r w:rsidRPr="00BA7DED">
        <w:rPr>
          <w:rFonts w:asciiTheme="majorHAnsi" w:hAnsiTheme="majorHAnsi"/>
          <w:sz w:val="24"/>
          <w:szCs w:val="24"/>
        </w:rPr>
        <w:t xml:space="preserve">The Food and Drug Administration (FDA) announced it will change its approval process for prescription painkillers in response to the growing opioid epidemic in the United States. </w:t>
      </w:r>
      <w:r w:rsidR="000C4444" w:rsidRPr="00BA7DED">
        <w:rPr>
          <w:rFonts w:asciiTheme="majorHAnsi" w:hAnsiTheme="majorHAnsi"/>
          <w:sz w:val="24"/>
          <w:szCs w:val="24"/>
        </w:rPr>
        <w:t xml:space="preserve">An additional $1.1 billion was proposed in the President’s Budget to address the worsening problem, which would increase needed treatment facilities. Read more </w:t>
      </w:r>
      <w:hyperlink r:id="rId11" w:history="1">
        <w:r w:rsidR="000C4444" w:rsidRPr="00BA7DED">
          <w:rPr>
            <w:rStyle w:val="Hyperlink"/>
            <w:rFonts w:asciiTheme="majorHAnsi" w:hAnsiTheme="majorHAnsi"/>
            <w:sz w:val="24"/>
            <w:szCs w:val="24"/>
          </w:rPr>
          <w:t>here</w:t>
        </w:r>
      </w:hyperlink>
      <w:r w:rsidR="000C4444" w:rsidRPr="00BA7DED">
        <w:rPr>
          <w:rFonts w:asciiTheme="majorHAnsi" w:hAnsiTheme="majorHAnsi"/>
          <w:sz w:val="24"/>
          <w:szCs w:val="24"/>
        </w:rPr>
        <w:t xml:space="preserve"> and </w:t>
      </w:r>
      <w:hyperlink r:id="rId12" w:history="1">
        <w:r w:rsidR="000C4444" w:rsidRPr="00BA7DED">
          <w:rPr>
            <w:rStyle w:val="Hyperlink"/>
            <w:rFonts w:asciiTheme="majorHAnsi" w:hAnsiTheme="majorHAnsi"/>
            <w:sz w:val="24"/>
            <w:szCs w:val="24"/>
          </w:rPr>
          <w:t>here.</w:t>
        </w:r>
      </w:hyperlink>
    </w:p>
    <w:p w:rsidR="00AE478B" w:rsidRPr="00BA7DED" w:rsidRDefault="00AE478B" w:rsidP="0091470B">
      <w:pPr>
        <w:tabs>
          <w:tab w:val="left" w:pos="7944"/>
        </w:tabs>
        <w:rPr>
          <w:rFonts w:asciiTheme="majorHAnsi" w:hAnsiTheme="majorHAnsi"/>
          <w:sz w:val="24"/>
          <w:szCs w:val="24"/>
        </w:rPr>
      </w:pPr>
      <w:r w:rsidRPr="00BA7DED">
        <w:rPr>
          <w:rFonts w:asciiTheme="majorHAnsi" w:hAnsiTheme="majorHAnsi"/>
          <w:sz w:val="24"/>
          <w:szCs w:val="24"/>
        </w:rPr>
        <w:t>In February, the Senate Finance Committee discussed several bills related to opioid misuse, including a bill</w:t>
      </w:r>
      <w:r w:rsidR="00F11A45" w:rsidRPr="00BA7DED">
        <w:rPr>
          <w:rFonts w:asciiTheme="majorHAnsi" w:hAnsiTheme="majorHAnsi"/>
          <w:sz w:val="24"/>
          <w:szCs w:val="24"/>
        </w:rPr>
        <w:t xml:space="preserve"> sponsored by Patrick Toomey (R-PA)</w:t>
      </w:r>
      <w:r w:rsidRPr="00BA7DED">
        <w:rPr>
          <w:rFonts w:asciiTheme="majorHAnsi" w:hAnsiTheme="majorHAnsi"/>
          <w:sz w:val="24"/>
          <w:szCs w:val="24"/>
        </w:rPr>
        <w:t xml:space="preserve"> (</w:t>
      </w:r>
      <w:r w:rsidR="00F11A45" w:rsidRPr="00BA7DED">
        <w:rPr>
          <w:rFonts w:asciiTheme="majorHAnsi" w:hAnsiTheme="majorHAnsi"/>
          <w:i/>
          <w:sz w:val="24"/>
          <w:szCs w:val="24"/>
        </w:rPr>
        <w:t xml:space="preserve">Stopping Medication Abuse and Protecting Senior Act of 2015, </w:t>
      </w:r>
      <w:r w:rsidRPr="00BA7DED">
        <w:rPr>
          <w:rFonts w:asciiTheme="majorHAnsi" w:hAnsiTheme="majorHAnsi"/>
          <w:i/>
          <w:sz w:val="24"/>
          <w:szCs w:val="24"/>
        </w:rPr>
        <w:t>S. 1913</w:t>
      </w:r>
      <w:r w:rsidRPr="00BA7DED">
        <w:rPr>
          <w:rFonts w:asciiTheme="majorHAnsi" w:hAnsiTheme="majorHAnsi"/>
          <w:sz w:val="24"/>
          <w:szCs w:val="24"/>
        </w:rPr>
        <w:t xml:space="preserve">) that aims to prevent Medicare </w:t>
      </w:r>
      <w:r w:rsidR="00F11A45" w:rsidRPr="00BA7DED">
        <w:rPr>
          <w:rFonts w:asciiTheme="majorHAnsi" w:hAnsiTheme="majorHAnsi"/>
          <w:sz w:val="24"/>
          <w:szCs w:val="24"/>
        </w:rPr>
        <w:t>beneficiaries</w:t>
      </w:r>
      <w:r w:rsidRPr="00BA7DED">
        <w:rPr>
          <w:rFonts w:asciiTheme="majorHAnsi" w:hAnsiTheme="majorHAnsi"/>
          <w:sz w:val="24"/>
          <w:szCs w:val="24"/>
        </w:rPr>
        <w:t xml:space="preserve"> from “doctor shopping.” </w:t>
      </w:r>
      <w:r w:rsidR="00F11A45" w:rsidRPr="00BA7DED">
        <w:rPr>
          <w:rFonts w:asciiTheme="majorHAnsi" w:hAnsiTheme="majorHAnsi"/>
          <w:sz w:val="24"/>
          <w:szCs w:val="24"/>
        </w:rPr>
        <w:t xml:space="preserve">The legislation would require beneficiaries to receive all of their opioid prescriptions from the same physician and fill them at the same pharmacy. The bill is expected to be marked up soon. </w:t>
      </w:r>
    </w:p>
    <w:p w:rsidR="00CC3ABE" w:rsidRPr="00BA7DED" w:rsidRDefault="00CC3ABE" w:rsidP="0091470B">
      <w:pPr>
        <w:tabs>
          <w:tab w:val="left" w:pos="7944"/>
        </w:tabs>
        <w:rPr>
          <w:rFonts w:asciiTheme="majorHAnsi" w:hAnsiTheme="majorHAnsi"/>
          <w:b/>
          <w:sz w:val="24"/>
          <w:szCs w:val="24"/>
          <w:u w:val="single"/>
        </w:rPr>
      </w:pPr>
      <w:r w:rsidRPr="00BA7DED">
        <w:rPr>
          <w:rFonts w:asciiTheme="majorHAnsi" w:hAnsiTheme="majorHAnsi"/>
          <w:b/>
          <w:sz w:val="24"/>
          <w:szCs w:val="24"/>
          <w:u w:val="single"/>
        </w:rPr>
        <w:t>Closing the Donut Hole</w:t>
      </w:r>
    </w:p>
    <w:p w:rsidR="00CC3ABE" w:rsidRPr="00BA7DED" w:rsidRDefault="00CC3ABE" w:rsidP="0091470B">
      <w:pPr>
        <w:tabs>
          <w:tab w:val="left" w:pos="7944"/>
        </w:tabs>
        <w:rPr>
          <w:rFonts w:asciiTheme="majorHAnsi" w:hAnsiTheme="majorHAnsi"/>
          <w:sz w:val="24"/>
          <w:szCs w:val="24"/>
        </w:rPr>
      </w:pPr>
      <w:r w:rsidRPr="00BA7DED">
        <w:rPr>
          <w:rFonts w:asciiTheme="majorHAnsi" w:hAnsiTheme="majorHAnsi"/>
          <w:sz w:val="24"/>
          <w:szCs w:val="24"/>
        </w:rPr>
        <w:t xml:space="preserve">The Centers for Medicare and Medicaid Services released a report that </w:t>
      </w:r>
      <w:r w:rsidR="00933FDD" w:rsidRPr="00BA7DED">
        <w:rPr>
          <w:rFonts w:asciiTheme="majorHAnsi" w:hAnsiTheme="majorHAnsi"/>
          <w:sz w:val="24"/>
          <w:szCs w:val="24"/>
        </w:rPr>
        <w:t>showed that</w:t>
      </w:r>
      <w:r w:rsidR="00DA5641" w:rsidRPr="00BA7DED">
        <w:rPr>
          <w:rFonts w:asciiTheme="majorHAnsi" w:hAnsiTheme="majorHAnsi"/>
          <w:sz w:val="24"/>
          <w:szCs w:val="24"/>
        </w:rPr>
        <w:t xml:space="preserve"> about</w:t>
      </w:r>
      <w:r w:rsidRPr="00BA7DED">
        <w:rPr>
          <w:rFonts w:asciiTheme="majorHAnsi" w:hAnsiTheme="majorHAnsi"/>
          <w:sz w:val="24"/>
          <w:szCs w:val="24"/>
        </w:rPr>
        <w:t xml:space="preserve"> 10.7 million Medicare </w:t>
      </w:r>
      <w:r w:rsidR="00DA5641" w:rsidRPr="00BA7DED">
        <w:rPr>
          <w:rFonts w:asciiTheme="majorHAnsi" w:hAnsiTheme="majorHAnsi"/>
          <w:sz w:val="24"/>
          <w:szCs w:val="24"/>
        </w:rPr>
        <w:t>beneficiaries</w:t>
      </w:r>
      <w:r w:rsidRPr="00BA7DED">
        <w:rPr>
          <w:rFonts w:asciiTheme="majorHAnsi" w:hAnsiTheme="majorHAnsi"/>
          <w:sz w:val="24"/>
          <w:szCs w:val="24"/>
        </w:rPr>
        <w:t xml:space="preserve"> </w:t>
      </w:r>
      <w:r w:rsidR="00933FDD" w:rsidRPr="00BA7DED">
        <w:rPr>
          <w:rFonts w:asciiTheme="majorHAnsi" w:hAnsiTheme="majorHAnsi"/>
          <w:sz w:val="24"/>
          <w:szCs w:val="24"/>
        </w:rPr>
        <w:t>have</w:t>
      </w:r>
      <w:r w:rsidRPr="00BA7DED">
        <w:rPr>
          <w:rFonts w:asciiTheme="majorHAnsi" w:hAnsiTheme="majorHAnsi"/>
          <w:sz w:val="24"/>
          <w:szCs w:val="24"/>
        </w:rPr>
        <w:t xml:space="preserve"> received more than $20.8 million in discounts on prescription drugs since the </w:t>
      </w:r>
      <w:r w:rsidR="00933FDD" w:rsidRPr="00BA7DED">
        <w:rPr>
          <w:rFonts w:asciiTheme="majorHAnsi" w:hAnsiTheme="majorHAnsi"/>
          <w:sz w:val="24"/>
          <w:szCs w:val="24"/>
        </w:rPr>
        <w:t>enactment of the Affordable Care Act</w:t>
      </w:r>
      <w:r w:rsidRPr="00BA7DED">
        <w:rPr>
          <w:rFonts w:asciiTheme="majorHAnsi" w:hAnsiTheme="majorHAnsi"/>
          <w:sz w:val="24"/>
          <w:szCs w:val="24"/>
        </w:rPr>
        <w:t>.</w:t>
      </w:r>
      <w:r w:rsidR="00933FDD" w:rsidRPr="00BA7DED">
        <w:rPr>
          <w:rFonts w:asciiTheme="majorHAnsi" w:hAnsiTheme="majorHAnsi"/>
          <w:sz w:val="24"/>
          <w:szCs w:val="24"/>
        </w:rPr>
        <w:t xml:space="preserve"> </w:t>
      </w:r>
      <w:r w:rsidRPr="00BA7DED">
        <w:rPr>
          <w:rFonts w:asciiTheme="majorHAnsi" w:hAnsiTheme="majorHAnsi"/>
          <w:sz w:val="24"/>
          <w:szCs w:val="24"/>
        </w:rPr>
        <w:t xml:space="preserve"> </w:t>
      </w:r>
      <w:r w:rsidR="00DA5641" w:rsidRPr="00BA7DED">
        <w:rPr>
          <w:rFonts w:asciiTheme="majorHAnsi" w:hAnsiTheme="majorHAnsi"/>
          <w:sz w:val="24"/>
          <w:szCs w:val="24"/>
        </w:rPr>
        <w:t xml:space="preserve">Read more </w:t>
      </w:r>
      <w:hyperlink r:id="rId13" w:history="1">
        <w:r w:rsidR="00DA5641" w:rsidRPr="00BA7DED">
          <w:rPr>
            <w:rStyle w:val="Hyperlink"/>
            <w:rFonts w:asciiTheme="majorHAnsi" w:hAnsiTheme="majorHAnsi"/>
            <w:sz w:val="24"/>
            <w:szCs w:val="24"/>
          </w:rPr>
          <w:t>here.</w:t>
        </w:r>
      </w:hyperlink>
      <w:r w:rsidR="00DA5641" w:rsidRPr="00BA7DED">
        <w:rPr>
          <w:rFonts w:asciiTheme="majorHAnsi" w:hAnsiTheme="majorHAnsi"/>
          <w:sz w:val="24"/>
          <w:szCs w:val="24"/>
        </w:rPr>
        <w:t xml:space="preserve"> </w:t>
      </w:r>
    </w:p>
    <w:p w:rsidR="000C4444" w:rsidRPr="00BA7DED" w:rsidRDefault="000C4444" w:rsidP="0091470B">
      <w:pPr>
        <w:tabs>
          <w:tab w:val="left" w:pos="7944"/>
        </w:tabs>
        <w:rPr>
          <w:rFonts w:asciiTheme="majorHAnsi" w:hAnsiTheme="majorHAnsi"/>
          <w:b/>
          <w:sz w:val="24"/>
          <w:szCs w:val="24"/>
          <w:u w:val="single"/>
        </w:rPr>
      </w:pPr>
      <w:r w:rsidRPr="00BA7DED">
        <w:rPr>
          <w:rFonts w:asciiTheme="majorHAnsi" w:hAnsiTheme="majorHAnsi"/>
          <w:b/>
          <w:sz w:val="24"/>
          <w:szCs w:val="24"/>
          <w:u w:val="single"/>
        </w:rPr>
        <w:t>Excessive Wait Times Continue</w:t>
      </w:r>
      <w:r w:rsidR="00CC3ABE" w:rsidRPr="00BA7DED">
        <w:rPr>
          <w:rFonts w:asciiTheme="majorHAnsi" w:hAnsiTheme="majorHAnsi"/>
          <w:b/>
          <w:sz w:val="24"/>
          <w:szCs w:val="24"/>
          <w:u w:val="single"/>
        </w:rPr>
        <w:t xml:space="preserve"> at VA Clinics</w:t>
      </w:r>
    </w:p>
    <w:p w:rsidR="00CC3ABE" w:rsidRPr="00BA7DED" w:rsidRDefault="000C4444" w:rsidP="0091470B">
      <w:pPr>
        <w:tabs>
          <w:tab w:val="left" w:pos="7944"/>
        </w:tabs>
        <w:rPr>
          <w:rFonts w:asciiTheme="majorHAnsi" w:hAnsiTheme="majorHAnsi"/>
          <w:sz w:val="24"/>
          <w:szCs w:val="24"/>
        </w:rPr>
      </w:pPr>
      <w:r w:rsidRPr="00BA7DED">
        <w:rPr>
          <w:rFonts w:asciiTheme="majorHAnsi" w:hAnsiTheme="majorHAnsi"/>
          <w:sz w:val="24"/>
          <w:szCs w:val="24"/>
        </w:rPr>
        <w:t xml:space="preserve">According to a report by the VA Office of </w:t>
      </w:r>
      <w:r w:rsidR="00CC3ABE" w:rsidRPr="00BA7DED">
        <w:rPr>
          <w:rFonts w:asciiTheme="majorHAnsi" w:hAnsiTheme="majorHAnsi"/>
          <w:sz w:val="24"/>
          <w:szCs w:val="24"/>
        </w:rPr>
        <w:t xml:space="preserve">the </w:t>
      </w:r>
      <w:r w:rsidRPr="00BA7DED">
        <w:rPr>
          <w:rFonts w:asciiTheme="majorHAnsi" w:hAnsiTheme="majorHAnsi"/>
          <w:sz w:val="24"/>
          <w:szCs w:val="24"/>
        </w:rPr>
        <w:t xml:space="preserve">Inspector General, </w:t>
      </w:r>
      <w:r w:rsidR="00CC3ABE" w:rsidRPr="00BA7DED">
        <w:rPr>
          <w:rFonts w:asciiTheme="majorHAnsi" w:hAnsiTheme="majorHAnsi"/>
          <w:sz w:val="24"/>
          <w:szCs w:val="24"/>
        </w:rPr>
        <w:t xml:space="preserve">sixty-four percent of veterans faced excessive wait times while seeking care at a VA facility in Colorado. The report found that veterans, who had wait times of more than 30 days, were not added to the Veterans Choice List, which gives them access to private non-VA care. Read more </w:t>
      </w:r>
      <w:hyperlink r:id="rId14" w:history="1">
        <w:r w:rsidR="00CC3ABE" w:rsidRPr="00BA7DED">
          <w:rPr>
            <w:rStyle w:val="Hyperlink"/>
            <w:rFonts w:asciiTheme="majorHAnsi" w:hAnsiTheme="majorHAnsi"/>
            <w:sz w:val="24"/>
            <w:szCs w:val="24"/>
          </w:rPr>
          <w:t>here.</w:t>
        </w:r>
      </w:hyperlink>
      <w:r w:rsidR="00CC3ABE" w:rsidRPr="00BA7DED">
        <w:rPr>
          <w:rFonts w:asciiTheme="majorHAnsi" w:hAnsiTheme="majorHAnsi"/>
          <w:sz w:val="24"/>
          <w:szCs w:val="24"/>
        </w:rPr>
        <w:t xml:space="preserve"> </w:t>
      </w:r>
    </w:p>
    <w:p w:rsidR="00933FDD" w:rsidRPr="00BA7DED" w:rsidRDefault="00933FDD" w:rsidP="0091470B">
      <w:pPr>
        <w:tabs>
          <w:tab w:val="left" w:pos="7944"/>
        </w:tabs>
        <w:rPr>
          <w:rFonts w:asciiTheme="majorHAnsi" w:hAnsiTheme="majorHAnsi"/>
          <w:b/>
          <w:sz w:val="24"/>
          <w:szCs w:val="24"/>
          <w:u w:val="single"/>
        </w:rPr>
      </w:pPr>
      <w:r w:rsidRPr="00BA7DED">
        <w:rPr>
          <w:rFonts w:asciiTheme="majorHAnsi" w:hAnsiTheme="majorHAnsi"/>
          <w:b/>
          <w:sz w:val="24"/>
          <w:szCs w:val="24"/>
          <w:u w:val="single"/>
        </w:rPr>
        <w:lastRenderedPageBreak/>
        <w:t>Health Care Spending</w:t>
      </w:r>
      <w:r w:rsidR="00AE478B" w:rsidRPr="00BA7DED">
        <w:rPr>
          <w:rFonts w:asciiTheme="majorHAnsi" w:hAnsiTheme="majorHAnsi"/>
          <w:b/>
          <w:sz w:val="24"/>
          <w:szCs w:val="24"/>
          <w:u w:val="single"/>
        </w:rPr>
        <w:t xml:space="preserve"> in 2015</w:t>
      </w:r>
    </w:p>
    <w:p w:rsidR="00933FDD" w:rsidRPr="00BA7DED" w:rsidRDefault="00933FDD" w:rsidP="0091470B">
      <w:pPr>
        <w:tabs>
          <w:tab w:val="left" w:pos="7944"/>
        </w:tabs>
        <w:rPr>
          <w:rFonts w:asciiTheme="majorHAnsi" w:hAnsiTheme="majorHAnsi"/>
          <w:sz w:val="24"/>
          <w:szCs w:val="24"/>
        </w:rPr>
      </w:pPr>
      <w:r w:rsidRPr="00BA7DED">
        <w:rPr>
          <w:rFonts w:asciiTheme="majorHAnsi" w:hAnsiTheme="majorHAnsi"/>
          <w:sz w:val="24"/>
          <w:szCs w:val="24"/>
        </w:rPr>
        <w:t xml:space="preserve">A report from the Altarum Institute’s Center for Sustainable Health Spending found that U.S. health care spending continued to grow by a rate of 5.9% in 2015, up from 5.35 % in 2014. </w:t>
      </w:r>
      <w:r w:rsidR="00AE478B" w:rsidRPr="00BA7DED">
        <w:rPr>
          <w:rFonts w:asciiTheme="majorHAnsi" w:hAnsiTheme="majorHAnsi"/>
          <w:sz w:val="24"/>
          <w:szCs w:val="24"/>
        </w:rPr>
        <w:t xml:space="preserve">The report noted that spending increased in parts of 2015, but the growth </w:t>
      </w:r>
      <w:r w:rsidR="00ED5DC7">
        <w:rPr>
          <w:rFonts w:asciiTheme="majorHAnsi" w:hAnsiTheme="majorHAnsi"/>
          <w:sz w:val="24"/>
          <w:szCs w:val="24"/>
        </w:rPr>
        <w:t>seemed</w:t>
      </w:r>
      <w:r w:rsidR="00AE478B" w:rsidRPr="00BA7DED">
        <w:rPr>
          <w:rFonts w:asciiTheme="majorHAnsi" w:hAnsiTheme="majorHAnsi"/>
          <w:sz w:val="24"/>
          <w:szCs w:val="24"/>
        </w:rPr>
        <w:t xml:space="preserve"> to taper every month after February 2015. </w:t>
      </w:r>
      <w:r w:rsidR="00AE478B" w:rsidRPr="00BA7DED">
        <w:rPr>
          <w:rFonts w:asciiTheme="majorHAnsi" w:hAnsiTheme="majorHAnsi"/>
          <w:color w:val="000000"/>
          <w:sz w:val="24"/>
          <w:szCs w:val="24"/>
        </w:rPr>
        <w:t xml:space="preserve">“If this trend continues, health spending growth in 2016 will drop to more modest levels,” </w:t>
      </w:r>
      <w:r w:rsidR="00BA76B4" w:rsidRPr="00BA7DED">
        <w:rPr>
          <w:rFonts w:asciiTheme="majorHAnsi" w:hAnsiTheme="majorHAnsi"/>
          <w:color w:val="000000"/>
          <w:sz w:val="24"/>
          <w:szCs w:val="24"/>
        </w:rPr>
        <w:t>Altarum’ s</w:t>
      </w:r>
      <w:r w:rsidR="00AE478B" w:rsidRPr="00BA7DED">
        <w:rPr>
          <w:rFonts w:asciiTheme="majorHAnsi" w:hAnsiTheme="majorHAnsi"/>
          <w:color w:val="000000"/>
          <w:sz w:val="24"/>
          <w:szCs w:val="24"/>
        </w:rPr>
        <w:t xml:space="preserve"> report reads. </w:t>
      </w:r>
      <w:r w:rsidR="00AE478B" w:rsidRPr="00BA7DED">
        <w:rPr>
          <w:rFonts w:asciiTheme="majorHAnsi" w:hAnsiTheme="majorHAnsi"/>
          <w:sz w:val="24"/>
          <w:szCs w:val="24"/>
        </w:rPr>
        <w:t xml:space="preserve">Read more </w:t>
      </w:r>
      <w:hyperlink r:id="rId15" w:history="1">
        <w:r w:rsidR="00AE478B" w:rsidRPr="00BA7DED">
          <w:rPr>
            <w:rStyle w:val="Hyperlink"/>
            <w:rFonts w:asciiTheme="majorHAnsi" w:hAnsiTheme="majorHAnsi"/>
            <w:sz w:val="24"/>
            <w:szCs w:val="24"/>
          </w:rPr>
          <w:t>here.</w:t>
        </w:r>
      </w:hyperlink>
      <w:r w:rsidR="00AE478B" w:rsidRPr="00BA7DED">
        <w:rPr>
          <w:rFonts w:asciiTheme="majorHAnsi" w:hAnsiTheme="majorHAnsi"/>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0C4444" w:rsidRPr="00BA7DED" w:rsidTr="000C4444">
        <w:trPr>
          <w:tblCellSpacing w:w="0" w:type="dxa"/>
        </w:trPr>
        <w:tc>
          <w:tcPr>
            <w:tcW w:w="0" w:type="auto"/>
            <w:tcMar>
              <w:top w:w="30" w:type="dxa"/>
              <w:left w:w="0" w:type="dxa"/>
              <w:bottom w:w="0" w:type="dxa"/>
              <w:right w:w="0" w:type="dxa"/>
            </w:tcMar>
            <w:vAlign w:val="center"/>
            <w:hideMark/>
          </w:tcPr>
          <w:p w:rsidR="000C4444" w:rsidRPr="00BA7DED" w:rsidRDefault="000C4444">
            <w:pPr>
              <w:pStyle w:val="NormalWeb"/>
              <w:spacing w:line="300" w:lineRule="auto"/>
              <w:rPr>
                <w:rFonts w:asciiTheme="majorHAnsi" w:hAnsiTheme="majorHAnsi"/>
                <w:color w:val="333333"/>
                <w:sz w:val="18"/>
                <w:szCs w:val="18"/>
              </w:rPr>
            </w:pPr>
          </w:p>
        </w:tc>
      </w:tr>
    </w:tbl>
    <w:p w:rsidR="00712AC9" w:rsidRPr="00BA7DED" w:rsidRDefault="002D742D" w:rsidP="00712AC9">
      <w:pPr>
        <w:tabs>
          <w:tab w:val="left" w:pos="7944"/>
        </w:tabs>
        <w:rPr>
          <w:rFonts w:asciiTheme="majorHAnsi" w:hAnsiTheme="majorHAnsi"/>
          <w:b/>
          <w:sz w:val="24"/>
          <w:szCs w:val="24"/>
          <w:u w:val="single"/>
        </w:rPr>
      </w:pPr>
      <w:r>
        <w:rPr>
          <w:rFonts w:asciiTheme="majorHAnsi" w:hAnsiTheme="majorHAnsi"/>
          <w:b/>
          <w:sz w:val="24"/>
          <w:szCs w:val="24"/>
          <w:u w:val="single"/>
        </w:rPr>
        <w:t>Financing Long-Term Care Report</w:t>
      </w:r>
      <w:r w:rsidR="006A7F22">
        <w:rPr>
          <w:rFonts w:asciiTheme="majorHAnsi" w:hAnsiTheme="majorHAnsi"/>
          <w:b/>
          <w:sz w:val="24"/>
          <w:szCs w:val="24"/>
          <w:u w:val="single"/>
        </w:rPr>
        <w:t>s</w:t>
      </w:r>
    </w:p>
    <w:p w:rsidR="00BA7DED" w:rsidRPr="00BA7DED" w:rsidRDefault="00712AC9" w:rsidP="00BA7DED">
      <w:pPr>
        <w:tabs>
          <w:tab w:val="left" w:pos="7944"/>
        </w:tabs>
        <w:rPr>
          <w:rFonts w:asciiTheme="majorHAnsi" w:hAnsiTheme="majorHAnsi"/>
          <w:sz w:val="24"/>
          <w:szCs w:val="24"/>
        </w:rPr>
      </w:pPr>
      <w:r w:rsidRPr="00BA7DED">
        <w:rPr>
          <w:rFonts w:asciiTheme="majorHAnsi" w:hAnsiTheme="majorHAnsi"/>
          <w:sz w:val="24"/>
          <w:szCs w:val="24"/>
        </w:rPr>
        <w:t xml:space="preserve">The Long-term Care Financing Collaborative released their final report describing their proposal for reforming the current long-term care system. The Collaborative is a group of </w:t>
      </w:r>
      <w:r w:rsidR="00B232F3" w:rsidRPr="00BA7DED">
        <w:rPr>
          <w:rFonts w:asciiTheme="majorHAnsi" w:hAnsiTheme="majorHAnsi"/>
          <w:sz w:val="24"/>
          <w:szCs w:val="24"/>
        </w:rPr>
        <w:t>policy</w:t>
      </w:r>
      <w:r w:rsidRPr="00BA7DED">
        <w:rPr>
          <w:rFonts w:asciiTheme="majorHAnsi" w:hAnsiTheme="majorHAnsi"/>
          <w:sz w:val="24"/>
          <w:szCs w:val="24"/>
        </w:rPr>
        <w:t xml:space="preserve"> experts and stakeholders</w:t>
      </w:r>
      <w:r w:rsidR="00B232F3" w:rsidRPr="00BA7DED">
        <w:rPr>
          <w:rFonts w:asciiTheme="majorHAnsi" w:hAnsiTheme="majorHAnsi"/>
          <w:sz w:val="24"/>
          <w:szCs w:val="24"/>
        </w:rPr>
        <w:t xml:space="preserve"> from across the political spectrum</w:t>
      </w:r>
      <w:r w:rsidR="00BA7DED" w:rsidRPr="00BA7DED">
        <w:rPr>
          <w:rFonts w:asciiTheme="majorHAnsi" w:hAnsiTheme="majorHAnsi"/>
          <w:sz w:val="24"/>
          <w:szCs w:val="24"/>
        </w:rPr>
        <w:t xml:space="preserve"> created to generate consensus-based policy recommendations on long-term care financing. The final report includes the following five recommendations: </w:t>
      </w:r>
    </w:p>
    <w:p w:rsidR="00F11A45" w:rsidRPr="005D2092" w:rsidRDefault="00F11A45" w:rsidP="00F11A45">
      <w:pPr>
        <w:numPr>
          <w:ilvl w:val="0"/>
          <w:numId w:val="4"/>
        </w:numPr>
        <w:spacing w:before="100" w:beforeAutospacing="1" w:after="100" w:afterAutospacing="1" w:line="240" w:lineRule="auto"/>
        <w:rPr>
          <w:rFonts w:asciiTheme="majorHAnsi" w:hAnsiTheme="majorHAnsi"/>
          <w:color w:val="000000"/>
          <w:sz w:val="24"/>
          <w:szCs w:val="20"/>
        </w:rPr>
      </w:pPr>
      <w:r w:rsidRPr="005D2092">
        <w:rPr>
          <w:rFonts w:asciiTheme="majorHAnsi" w:hAnsiTheme="majorHAnsi"/>
          <w:color w:val="000000"/>
          <w:sz w:val="24"/>
          <w:szCs w:val="20"/>
        </w:rPr>
        <w:t>Creation of a universal program for all individuals that would cover catastrophic care for individuals with high needs over an extended timeframe;</w:t>
      </w:r>
    </w:p>
    <w:p w:rsidR="00F11A45" w:rsidRPr="005D2092" w:rsidRDefault="00F11A45" w:rsidP="00F11A45">
      <w:pPr>
        <w:numPr>
          <w:ilvl w:val="0"/>
          <w:numId w:val="4"/>
        </w:numPr>
        <w:spacing w:before="100" w:beforeAutospacing="1" w:after="100" w:afterAutospacing="1" w:line="240" w:lineRule="auto"/>
        <w:rPr>
          <w:rFonts w:asciiTheme="majorHAnsi" w:hAnsiTheme="majorHAnsi"/>
          <w:color w:val="000000"/>
          <w:sz w:val="24"/>
          <w:szCs w:val="20"/>
        </w:rPr>
      </w:pPr>
      <w:r w:rsidRPr="005D2092">
        <w:rPr>
          <w:rFonts w:asciiTheme="majorHAnsi" w:hAnsiTheme="majorHAnsi"/>
          <w:color w:val="000000"/>
          <w:sz w:val="24"/>
          <w:szCs w:val="20"/>
        </w:rPr>
        <w:t>Developing public policies in cooperation with the private insurance market to help support financing for individuals with LTSS needs that do not meet the level required for the catastrophic care benefit, including innovations with leveraging retirement savings and home equity;</w:t>
      </w:r>
    </w:p>
    <w:p w:rsidR="00F11A45" w:rsidRPr="005D2092" w:rsidRDefault="00F11A45" w:rsidP="00F11A45">
      <w:pPr>
        <w:numPr>
          <w:ilvl w:val="0"/>
          <w:numId w:val="4"/>
        </w:numPr>
        <w:spacing w:before="100" w:beforeAutospacing="1" w:after="100" w:afterAutospacing="1" w:line="240" w:lineRule="auto"/>
        <w:rPr>
          <w:rFonts w:asciiTheme="majorHAnsi" w:hAnsiTheme="majorHAnsi"/>
          <w:color w:val="000000"/>
          <w:sz w:val="24"/>
          <w:szCs w:val="20"/>
        </w:rPr>
      </w:pPr>
      <w:r w:rsidRPr="005D2092">
        <w:rPr>
          <w:rFonts w:asciiTheme="majorHAnsi" w:hAnsiTheme="majorHAnsi"/>
          <w:color w:val="000000"/>
          <w:sz w:val="24"/>
          <w:szCs w:val="20"/>
        </w:rPr>
        <w:t>Enhancing Medicaid LTSS services, and increasing flexibility to provide greater access to care in the most appropriate setting for each individual;</w:t>
      </w:r>
    </w:p>
    <w:p w:rsidR="00F11A45" w:rsidRPr="005D2092" w:rsidRDefault="00F11A45" w:rsidP="00F11A45">
      <w:pPr>
        <w:numPr>
          <w:ilvl w:val="0"/>
          <w:numId w:val="4"/>
        </w:numPr>
        <w:spacing w:before="100" w:beforeAutospacing="1" w:after="100" w:afterAutospacing="1" w:line="240" w:lineRule="auto"/>
        <w:rPr>
          <w:rFonts w:asciiTheme="majorHAnsi" w:hAnsiTheme="majorHAnsi"/>
          <w:color w:val="000000"/>
          <w:sz w:val="24"/>
          <w:szCs w:val="20"/>
        </w:rPr>
      </w:pPr>
      <w:r w:rsidRPr="005D2092">
        <w:rPr>
          <w:rFonts w:asciiTheme="majorHAnsi" w:hAnsiTheme="majorHAnsi"/>
          <w:color w:val="000000"/>
          <w:sz w:val="24"/>
          <w:szCs w:val="20"/>
        </w:rPr>
        <w:t xml:space="preserve">Increasing support for family and community </w:t>
      </w:r>
      <w:r w:rsidR="001D5A9A">
        <w:rPr>
          <w:rFonts w:asciiTheme="majorHAnsi" w:hAnsiTheme="majorHAnsi"/>
          <w:color w:val="000000"/>
          <w:sz w:val="24"/>
          <w:szCs w:val="20"/>
        </w:rPr>
        <w:t>caregivers</w:t>
      </w:r>
      <w:r w:rsidR="00BA7DED" w:rsidRPr="005D2092">
        <w:rPr>
          <w:rFonts w:asciiTheme="majorHAnsi" w:hAnsiTheme="majorHAnsi"/>
          <w:color w:val="000000"/>
          <w:sz w:val="24"/>
          <w:szCs w:val="20"/>
        </w:rPr>
        <w:t xml:space="preserve"> </w:t>
      </w:r>
      <w:r w:rsidRPr="005D2092">
        <w:rPr>
          <w:rFonts w:asciiTheme="majorHAnsi" w:hAnsiTheme="majorHAnsi"/>
          <w:color w:val="000000"/>
          <w:sz w:val="24"/>
          <w:szCs w:val="20"/>
        </w:rPr>
        <w:t>that may include unpaid caregivers, as well increasing integration between medical interventions and long-term services and supports.</w:t>
      </w:r>
    </w:p>
    <w:p w:rsidR="00F11A45" w:rsidRDefault="006663D6" w:rsidP="00F11A45">
      <w:pPr>
        <w:spacing w:after="0"/>
        <w:rPr>
          <w:rFonts w:asciiTheme="majorHAnsi" w:hAnsiTheme="majorHAnsi"/>
          <w:color w:val="000000"/>
          <w:sz w:val="24"/>
          <w:szCs w:val="20"/>
        </w:rPr>
      </w:pPr>
      <w:hyperlink r:id="rId16" w:tgtFrame="_blank" w:history="1">
        <w:r w:rsidR="00F11A45" w:rsidRPr="005D2092">
          <w:rPr>
            <w:rStyle w:val="Hyperlink"/>
            <w:rFonts w:asciiTheme="majorHAnsi" w:hAnsiTheme="majorHAnsi"/>
            <w:sz w:val="24"/>
            <w:szCs w:val="20"/>
          </w:rPr>
          <w:t>Click here</w:t>
        </w:r>
      </w:hyperlink>
      <w:r w:rsidR="00F11A45" w:rsidRPr="005D2092">
        <w:rPr>
          <w:rFonts w:asciiTheme="majorHAnsi" w:hAnsiTheme="majorHAnsi"/>
          <w:color w:val="000000"/>
          <w:sz w:val="24"/>
          <w:szCs w:val="20"/>
        </w:rPr>
        <w:t xml:space="preserve"> to access the </w:t>
      </w:r>
      <w:r w:rsidR="00BA7DED" w:rsidRPr="005D2092">
        <w:rPr>
          <w:rFonts w:asciiTheme="majorHAnsi" w:hAnsiTheme="majorHAnsi"/>
          <w:color w:val="000000"/>
          <w:sz w:val="24"/>
          <w:szCs w:val="20"/>
        </w:rPr>
        <w:t>report</w:t>
      </w:r>
      <w:r w:rsidR="00F11A45" w:rsidRPr="005D2092">
        <w:rPr>
          <w:rFonts w:asciiTheme="majorHAnsi" w:hAnsiTheme="majorHAnsi"/>
          <w:color w:val="000000"/>
          <w:sz w:val="24"/>
          <w:szCs w:val="20"/>
        </w:rPr>
        <w:t>.</w:t>
      </w:r>
    </w:p>
    <w:p w:rsidR="006A7F22" w:rsidRDefault="006A7F22" w:rsidP="00F11A45">
      <w:pPr>
        <w:spacing w:after="0"/>
        <w:rPr>
          <w:rFonts w:asciiTheme="majorHAnsi" w:hAnsiTheme="majorHAnsi"/>
          <w:color w:val="000000"/>
          <w:sz w:val="24"/>
          <w:szCs w:val="20"/>
        </w:rPr>
      </w:pPr>
    </w:p>
    <w:p w:rsidR="003F40E0" w:rsidRDefault="006A7F22" w:rsidP="00F11A45">
      <w:pPr>
        <w:spacing w:after="0"/>
        <w:rPr>
          <w:rFonts w:asciiTheme="majorHAnsi" w:hAnsiTheme="majorHAnsi"/>
          <w:color w:val="000000"/>
          <w:sz w:val="24"/>
          <w:szCs w:val="20"/>
        </w:rPr>
      </w:pPr>
      <w:r>
        <w:rPr>
          <w:rFonts w:asciiTheme="majorHAnsi" w:hAnsiTheme="majorHAnsi"/>
          <w:color w:val="000000"/>
          <w:sz w:val="24"/>
          <w:szCs w:val="20"/>
        </w:rPr>
        <w:t>The Bipartisan Policy Center</w:t>
      </w:r>
      <w:r w:rsidR="003F40E0">
        <w:rPr>
          <w:rFonts w:asciiTheme="majorHAnsi" w:hAnsiTheme="majorHAnsi"/>
          <w:color w:val="000000"/>
          <w:sz w:val="24"/>
          <w:szCs w:val="20"/>
        </w:rPr>
        <w:t xml:space="preserve">’s (BPC) Long-Term Care Financing Initiative released their report </w:t>
      </w:r>
      <w:r w:rsidR="003F40E0">
        <w:rPr>
          <w:rFonts w:asciiTheme="majorHAnsi" w:hAnsiTheme="majorHAnsi"/>
          <w:i/>
          <w:color w:val="000000"/>
          <w:sz w:val="24"/>
          <w:szCs w:val="20"/>
        </w:rPr>
        <w:t>Initial Recommendations to Improve the Financing of Long-Term Care.</w:t>
      </w:r>
      <w:r w:rsidR="003F40E0">
        <w:rPr>
          <w:rFonts w:asciiTheme="majorHAnsi" w:hAnsiTheme="majorHAnsi"/>
          <w:color w:val="000000"/>
          <w:sz w:val="24"/>
          <w:szCs w:val="20"/>
        </w:rPr>
        <w:t xml:space="preserve"> The BPC published another report in April 2014 that examined the challenges in financing and delivery. This report is a follow-up that offers recommendations to help address the financing of long-ter</w:t>
      </w:r>
      <w:r w:rsidR="002D22A8">
        <w:rPr>
          <w:rFonts w:asciiTheme="majorHAnsi" w:hAnsiTheme="majorHAnsi"/>
          <w:color w:val="000000"/>
          <w:sz w:val="24"/>
          <w:szCs w:val="20"/>
        </w:rPr>
        <w:t>m services and supports (LTSS).</w:t>
      </w:r>
      <w:r w:rsidR="003F40E0">
        <w:rPr>
          <w:rFonts w:asciiTheme="majorHAnsi" w:hAnsiTheme="majorHAnsi"/>
          <w:color w:val="000000"/>
          <w:sz w:val="24"/>
          <w:szCs w:val="20"/>
        </w:rPr>
        <w:t xml:space="preserve"> Read more </w:t>
      </w:r>
      <w:hyperlink r:id="rId17" w:history="1">
        <w:r w:rsidR="003F40E0">
          <w:rPr>
            <w:rStyle w:val="Hyperlink"/>
            <w:rFonts w:asciiTheme="majorHAnsi" w:hAnsiTheme="majorHAnsi"/>
            <w:sz w:val="24"/>
            <w:szCs w:val="20"/>
          </w:rPr>
          <w:t>here</w:t>
        </w:r>
      </w:hyperlink>
      <w:r w:rsidR="003F40E0">
        <w:rPr>
          <w:rFonts w:asciiTheme="majorHAnsi" w:hAnsiTheme="majorHAnsi"/>
          <w:color w:val="000000"/>
          <w:sz w:val="24"/>
          <w:szCs w:val="20"/>
        </w:rPr>
        <w:t xml:space="preserve">. </w:t>
      </w:r>
    </w:p>
    <w:p w:rsidR="002D22A8" w:rsidRDefault="002D22A8" w:rsidP="00F11A45">
      <w:pPr>
        <w:spacing w:after="0"/>
        <w:rPr>
          <w:rFonts w:asciiTheme="majorHAnsi" w:hAnsiTheme="majorHAnsi"/>
          <w:color w:val="000000"/>
          <w:sz w:val="24"/>
          <w:szCs w:val="20"/>
        </w:rPr>
      </w:pPr>
    </w:p>
    <w:p w:rsidR="00397038" w:rsidRDefault="00397038" w:rsidP="00397038">
      <w:pPr>
        <w:tabs>
          <w:tab w:val="left" w:pos="7944"/>
        </w:tabs>
        <w:rPr>
          <w:rFonts w:asciiTheme="majorHAnsi" w:hAnsiTheme="majorHAnsi"/>
          <w:b/>
          <w:sz w:val="24"/>
          <w:szCs w:val="24"/>
          <w:u w:val="single"/>
        </w:rPr>
      </w:pPr>
      <w:r>
        <w:rPr>
          <w:rFonts w:asciiTheme="majorHAnsi" w:hAnsiTheme="majorHAnsi"/>
          <w:b/>
          <w:sz w:val="24"/>
          <w:szCs w:val="24"/>
          <w:u w:val="single"/>
        </w:rPr>
        <w:t>Final Rule on Medicare Reporting and Returning of Overpayments</w:t>
      </w:r>
    </w:p>
    <w:p w:rsidR="00397038" w:rsidRPr="00397038" w:rsidRDefault="00397038" w:rsidP="00397038">
      <w:pPr>
        <w:tabs>
          <w:tab w:val="left" w:pos="7944"/>
        </w:tabs>
        <w:rPr>
          <w:rFonts w:asciiTheme="majorHAnsi" w:hAnsiTheme="majorHAnsi"/>
          <w:sz w:val="24"/>
          <w:szCs w:val="24"/>
        </w:rPr>
      </w:pPr>
      <w:r>
        <w:rPr>
          <w:rFonts w:asciiTheme="majorHAnsi" w:hAnsiTheme="majorHAnsi"/>
          <w:sz w:val="24"/>
          <w:szCs w:val="24"/>
        </w:rPr>
        <w:t xml:space="preserve">The Centers for Medicare and Medicaid Services (CMS) published a final rule that requires Medicare Part A and Medicare Part B health care providers and suppliers to “report and return overpayments by the later of the date that is 60 days after the date an overpayment was identified, or the due date of any corresponding cost report, if applicable.” Read the final rule </w:t>
      </w:r>
      <w:hyperlink r:id="rId18" w:history="1">
        <w:r>
          <w:rPr>
            <w:rStyle w:val="Hyperlink"/>
            <w:rFonts w:asciiTheme="majorHAnsi" w:hAnsiTheme="majorHAnsi"/>
            <w:sz w:val="24"/>
            <w:szCs w:val="24"/>
          </w:rPr>
          <w:t>here.</w:t>
        </w:r>
      </w:hyperlink>
      <w:r>
        <w:rPr>
          <w:rFonts w:asciiTheme="majorHAnsi" w:hAnsiTheme="majorHAnsi"/>
          <w:sz w:val="24"/>
          <w:szCs w:val="24"/>
        </w:rPr>
        <w:t xml:space="preserve"> </w:t>
      </w:r>
    </w:p>
    <w:p w:rsidR="00F11A45" w:rsidRDefault="002D22A8" w:rsidP="0091470B">
      <w:pPr>
        <w:tabs>
          <w:tab w:val="left" w:pos="7944"/>
        </w:tabs>
        <w:rPr>
          <w:rFonts w:asciiTheme="majorHAnsi" w:hAnsiTheme="majorHAnsi"/>
          <w:b/>
          <w:color w:val="000000"/>
          <w:sz w:val="24"/>
          <w:szCs w:val="20"/>
          <w:u w:val="single"/>
        </w:rPr>
      </w:pPr>
      <w:r>
        <w:rPr>
          <w:rFonts w:asciiTheme="majorHAnsi" w:hAnsiTheme="majorHAnsi"/>
          <w:b/>
          <w:color w:val="000000"/>
          <w:sz w:val="24"/>
          <w:szCs w:val="20"/>
          <w:u w:val="single"/>
        </w:rPr>
        <w:lastRenderedPageBreak/>
        <w:t>Strengthening Low-Income Older Adults and Caregivers</w:t>
      </w:r>
    </w:p>
    <w:p w:rsidR="002D742D" w:rsidRDefault="001D5A9A" w:rsidP="0091470B">
      <w:pPr>
        <w:tabs>
          <w:tab w:val="left" w:pos="7944"/>
        </w:tabs>
        <w:rPr>
          <w:rFonts w:asciiTheme="majorHAnsi" w:hAnsiTheme="majorHAnsi"/>
          <w:i/>
          <w:sz w:val="24"/>
          <w:szCs w:val="24"/>
        </w:rPr>
      </w:pPr>
      <w:r>
        <w:rPr>
          <w:rFonts w:asciiTheme="majorHAnsi" w:hAnsiTheme="majorHAnsi"/>
          <w:color w:val="000000"/>
          <w:sz w:val="24"/>
          <w:szCs w:val="20"/>
        </w:rPr>
        <w:t xml:space="preserve">The advocacy group </w:t>
      </w:r>
      <w:r w:rsidR="002D22A8">
        <w:rPr>
          <w:rFonts w:asciiTheme="majorHAnsi" w:hAnsiTheme="majorHAnsi"/>
          <w:color w:val="000000"/>
          <w:sz w:val="24"/>
          <w:szCs w:val="20"/>
        </w:rPr>
        <w:t xml:space="preserve">Justice in Aging released a paper titled </w:t>
      </w:r>
      <w:r w:rsidR="002D22A8">
        <w:rPr>
          <w:rFonts w:asciiTheme="majorHAnsi" w:hAnsiTheme="majorHAnsi"/>
          <w:i/>
          <w:color w:val="000000"/>
          <w:sz w:val="24"/>
          <w:szCs w:val="20"/>
        </w:rPr>
        <w:t xml:space="preserve">Advocacy Starts at Home: Strengthening Low-income Older Adults and Caregivers. </w:t>
      </w:r>
      <w:r w:rsidR="002D22A8">
        <w:rPr>
          <w:rFonts w:asciiTheme="majorHAnsi" w:hAnsiTheme="majorHAnsi"/>
          <w:color w:val="000000"/>
          <w:sz w:val="24"/>
          <w:szCs w:val="20"/>
        </w:rPr>
        <w:t xml:space="preserve">The paper </w:t>
      </w:r>
      <w:r w:rsidR="00397038">
        <w:rPr>
          <w:rFonts w:asciiTheme="majorHAnsi" w:hAnsiTheme="majorHAnsi"/>
          <w:color w:val="000000"/>
          <w:sz w:val="24"/>
          <w:szCs w:val="20"/>
        </w:rPr>
        <w:t xml:space="preserve">and video </w:t>
      </w:r>
      <w:r w:rsidR="002D22A8">
        <w:rPr>
          <w:rFonts w:asciiTheme="majorHAnsi" w:hAnsiTheme="majorHAnsi"/>
          <w:color w:val="000000"/>
          <w:sz w:val="24"/>
          <w:szCs w:val="20"/>
        </w:rPr>
        <w:t>shares the story of Margaret and her story of being a caregiver</w:t>
      </w:r>
      <w:r w:rsidR="00397038">
        <w:rPr>
          <w:rFonts w:asciiTheme="majorHAnsi" w:hAnsiTheme="majorHAnsi"/>
          <w:color w:val="000000"/>
          <w:sz w:val="24"/>
          <w:szCs w:val="20"/>
        </w:rPr>
        <w:t>,</w:t>
      </w:r>
      <w:r w:rsidR="002D22A8">
        <w:rPr>
          <w:rFonts w:asciiTheme="majorHAnsi" w:hAnsiTheme="majorHAnsi"/>
          <w:color w:val="000000"/>
          <w:sz w:val="24"/>
          <w:szCs w:val="20"/>
        </w:rPr>
        <w:t xml:space="preserve"> discusses the challenges Margaret faces in helping her mother age safely at home in dignity</w:t>
      </w:r>
      <w:r w:rsidR="00397038">
        <w:rPr>
          <w:rFonts w:asciiTheme="majorHAnsi" w:hAnsiTheme="majorHAnsi"/>
          <w:color w:val="000000"/>
          <w:sz w:val="24"/>
          <w:szCs w:val="20"/>
        </w:rPr>
        <w:t xml:space="preserve">, and offers solutions to help support older adults and their caregivers. Read the publication and view the video </w:t>
      </w:r>
      <w:hyperlink r:id="rId19" w:history="1">
        <w:r w:rsidR="00397038">
          <w:rPr>
            <w:rStyle w:val="Hyperlink"/>
            <w:rFonts w:asciiTheme="majorHAnsi" w:hAnsiTheme="majorHAnsi"/>
            <w:sz w:val="24"/>
            <w:szCs w:val="20"/>
          </w:rPr>
          <w:t>here.</w:t>
        </w:r>
      </w:hyperlink>
      <w:r w:rsidR="00397038">
        <w:rPr>
          <w:rFonts w:asciiTheme="majorHAnsi" w:hAnsiTheme="majorHAnsi"/>
          <w:color w:val="000000"/>
          <w:sz w:val="24"/>
          <w:szCs w:val="20"/>
        </w:rPr>
        <w:t xml:space="preserve">  </w:t>
      </w:r>
    </w:p>
    <w:p w:rsidR="00397038" w:rsidRDefault="0044518B" w:rsidP="0091470B">
      <w:pPr>
        <w:tabs>
          <w:tab w:val="left" w:pos="7944"/>
        </w:tabs>
        <w:rPr>
          <w:rFonts w:asciiTheme="majorHAnsi" w:hAnsiTheme="majorHAnsi"/>
          <w:b/>
          <w:sz w:val="24"/>
          <w:szCs w:val="24"/>
          <w:u w:val="single"/>
        </w:rPr>
      </w:pPr>
      <w:r>
        <w:rPr>
          <w:rFonts w:asciiTheme="majorHAnsi" w:hAnsiTheme="majorHAnsi"/>
          <w:b/>
          <w:sz w:val="24"/>
          <w:szCs w:val="24"/>
          <w:u w:val="single"/>
        </w:rPr>
        <w:t>Federal Poverty Guidelines for 2016 Released</w:t>
      </w:r>
    </w:p>
    <w:p w:rsidR="0044518B" w:rsidRDefault="0044518B" w:rsidP="0091470B">
      <w:pPr>
        <w:tabs>
          <w:tab w:val="left" w:pos="7944"/>
        </w:tabs>
        <w:rPr>
          <w:rFonts w:asciiTheme="majorHAnsi" w:hAnsiTheme="majorHAnsi"/>
          <w:sz w:val="24"/>
          <w:szCs w:val="24"/>
        </w:rPr>
      </w:pPr>
      <w:r>
        <w:rPr>
          <w:rFonts w:asciiTheme="majorHAnsi" w:hAnsiTheme="majorHAnsi"/>
          <w:sz w:val="24"/>
          <w:szCs w:val="24"/>
        </w:rPr>
        <w:t xml:space="preserve">The Department of Health and Human Services (HHS) published the 2016 </w:t>
      </w:r>
      <w:hyperlink r:id="rId20" w:history="1">
        <w:r>
          <w:rPr>
            <w:rStyle w:val="Hyperlink"/>
            <w:rFonts w:asciiTheme="majorHAnsi" w:hAnsiTheme="majorHAnsi"/>
            <w:sz w:val="24"/>
            <w:szCs w:val="24"/>
          </w:rPr>
          <w:t>federal poverty guidelines</w:t>
        </w:r>
      </w:hyperlink>
      <w:r>
        <w:rPr>
          <w:rFonts w:asciiTheme="majorHAnsi" w:hAnsiTheme="majorHAnsi"/>
          <w:sz w:val="24"/>
          <w:szCs w:val="24"/>
        </w:rPr>
        <w:t xml:space="preserve"> in the Federal Register. The federal poverty guidelines affect the eligibility for some federal programs. The National Council on Aging (NCAO) has released </w:t>
      </w:r>
      <w:hyperlink r:id="rId21" w:history="1">
        <w:r>
          <w:rPr>
            <w:rStyle w:val="Hyperlink"/>
            <w:rFonts w:asciiTheme="majorHAnsi" w:hAnsiTheme="majorHAnsi"/>
            <w:sz w:val="24"/>
            <w:szCs w:val="24"/>
          </w:rPr>
          <w:t>fact sheets and charts</w:t>
        </w:r>
      </w:hyperlink>
      <w:r>
        <w:rPr>
          <w:rFonts w:asciiTheme="majorHAnsi" w:hAnsiTheme="majorHAnsi"/>
          <w:sz w:val="24"/>
          <w:szCs w:val="24"/>
        </w:rPr>
        <w:t xml:space="preserve"> that reflect how the updated eligibility requirements will affect Extra Help programs for the year. </w:t>
      </w:r>
    </w:p>
    <w:p w:rsidR="0044518B" w:rsidRDefault="002C2E17" w:rsidP="0091470B">
      <w:pPr>
        <w:tabs>
          <w:tab w:val="left" w:pos="7944"/>
        </w:tabs>
        <w:rPr>
          <w:rFonts w:asciiTheme="majorHAnsi" w:hAnsiTheme="majorHAnsi"/>
          <w:b/>
          <w:sz w:val="24"/>
          <w:szCs w:val="24"/>
          <w:u w:val="single"/>
        </w:rPr>
      </w:pPr>
      <w:r>
        <w:rPr>
          <w:rFonts w:asciiTheme="majorHAnsi" w:hAnsiTheme="majorHAnsi"/>
          <w:b/>
          <w:sz w:val="24"/>
          <w:szCs w:val="24"/>
          <w:u w:val="single"/>
        </w:rPr>
        <w:t>Organ Donation for Older Adults</w:t>
      </w:r>
    </w:p>
    <w:p w:rsidR="002C2E17" w:rsidRPr="00825501" w:rsidRDefault="002C2E17" w:rsidP="0091470B">
      <w:pPr>
        <w:tabs>
          <w:tab w:val="left" w:pos="7944"/>
        </w:tabs>
        <w:rPr>
          <w:rFonts w:asciiTheme="majorHAnsi" w:hAnsiTheme="majorHAnsi"/>
          <w:sz w:val="24"/>
          <w:szCs w:val="24"/>
        </w:rPr>
      </w:pPr>
      <w:r w:rsidRPr="00825501">
        <w:rPr>
          <w:rFonts w:asciiTheme="majorHAnsi" w:hAnsiTheme="majorHAnsi"/>
          <w:sz w:val="24"/>
          <w:szCs w:val="24"/>
        </w:rPr>
        <w:t>The National Institute on Aging is</w:t>
      </w:r>
      <w:r w:rsidR="00825501" w:rsidRPr="00825501">
        <w:rPr>
          <w:rFonts w:asciiTheme="majorHAnsi" w:hAnsiTheme="majorHAnsi"/>
          <w:sz w:val="24"/>
          <w:szCs w:val="24"/>
        </w:rPr>
        <w:t xml:space="preserve"> working with a team of federal agencies to encourage older adults to register as organ donors. NIA has created a webpage that provides information for potential donors and transplant recipients over age 50. Visit the website </w:t>
      </w:r>
      <w:hyperlink r:id="rId22" w:history="1">
        <w:r w:rsidR="00825501" w:rsidRPr="00825501">
          <w:rPr>
            <w:rStyle w:val="Hyperlink"/>
            <w:rFonts w:asciiTheme="majorHAnsi" w:hAnsiTheme="majorHAnsi"/>
            <w:sz w:val="24"/>
            <w:szCs w:val="24"/>
          </w:rPr>
          <w:t>here.</w:t>
        </w:r>
      </w:hyperlink>
    </w:p>
    <w:tbl>
      <w:tblPr>
        <w:tblW w:w="5000" w:type="pct"/>
        <w:tblCellSpacing w:w="0" w:type="dxa"/>
        <w:tblCellMar>
          <w:top w:w="113" w:type="dxa"/>
          <w:left w:w="113" w:type="dxa"/>
          <w:bottom w:w="113" w:type="dxa"/>
          <w:right w:w="113" w:type="dxa"/>
        </w:tblCellMar>
        <w:tblLook w:val="04A0" w:firstRow="1" w:lastRow="0" w:firstColumn="1" w:lastColumn="0" w:noHBand="0" w:noVBand="1"/>
      </w:tblPr>
      <w:tblGrid>
        <w:gridCol w:w="9586"/>
      </w:tblGrid>
      <w:tr w:rsidR="00F11A45" w:rsidRPr="00BA7DED" w:rsidTr="00F11A45">
        <w:trPr>
          <w:tblCellSpacing w:w="0" w:type="dxa"/>
        </w:trPr>
        <w:tc>
          <w:tcPr>
            <w:tcW w:w="0" w:type="auto"/>
            <w:hideMark/>
          </w:tcPr>
          <w:p w:rsidR="00F11A45" w:rsidRPr="00397038" w:rsidRDefault="00F11A45" w:rsidP="00F11A45">
            <w:pPr>
              <w:spacing w:after="90"/>
              <w:rPr>
                <w:rFonts w:asciiTheme="majorHAnsi" w:hAnsiTheme="majorHAnsi"/>
                <w:color w:val="405B81"/>
                <w:sz w:val="28"/>
                <w:szCs w:val="28"/>
              </w:rPr>
            </w:pPr>
          </w:p>
        </w:tc>
      </w:tr>
    </w:tbl>
    <w:p w:rsidR="00F11A45" w:rsidRPr="00BA7DED" w:rsidRDefault="00F11A45" w:rsidP="00F11A45">
      <w:pPr>
        <w:rPr>
          <w:rFonts w:asciiTheme="majorHAnsi" w:hAnsiTheme="majorHAnsi"/>
          <w:vanish/>
        </w:rPr>
      </w:pPr>
      <w:bookmarkStart w:id="1" w:name="LETTER.BLOCK93"/>
      <w:bookmarkEnd w:id="1"/>
    </w:p>
    <w:p w:rsidR="00F11A45" w:rsidRPr="00BA7DED" w:rsidRDefault="00F11A45" w:rsidP="00F11A45">
      <w:pPr>
        <w:rPr>
          <w:rFonts w:asciiTheme="majorHAnsi" w:hAnsiTheme="majorHAnsi"/>
          <w:vanish/>
        </w:rPr>
      </w:pPr>
      <w:bookmarkStart w:id="2" w:name="LETTER.BLOCK84"/>
      <w:bookmarkEnd w:id="2"/>
    </w:p>
    <w:p w:rsidR="000C4444" w:rsidRPr="002C2E17" w:rsidRDefault="000C4444" w:rsidP="002C2E17">
      <w:pPr>
        <w:rPr>
          <w:rFonts w:asciiTheme="majorHAnsi" w:hAnsiTheme="majorHAnsi"/>
          <w:color w:val="000000"/>
          <w:sz w:val="20"/>
          <w:szCs w:val="20"/>
        </w:rPr>
      </w:pPr>
    </w:p>
    <w:sectPr w:rsidR="000C4444" w:rsidRPr="002C2E17" w:rsidSect="0035001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4C" w:rsidRDefault="009D014C">
      <w:pPr>
        <w:spacing w:after="0" w:line="240" w:lineRule="auto"/>
      </w:pPr>
      <w:r>
        <w:separator/>
      </w:r>
    </w:p>
  </w:endnote>
  <w:endnote w:type="continuationSeparator" w:id="0">
    <w:p w:rsidR="009D014C" w:rsidRDefault="009D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13" w:rsidRDefault="005D2092">
    <w:pPr>
      <w:pStyle w:val="Footer"/>
      <w:jc w:val="right"/>
    </w:pPr>
    <w:r>
      <w:fldChar w:fldCharType="begin"/>
    </w:r>
    <w:r>
      <w:instrText xml:space="preserve"> PAGE   \* MERGEFORMAT </w:instrText>
    </w:r>
    <w:r>
      <w:fldChar w:fldCharType="separate"/>
    </w:r>
    <w:r w:rsidR="006663D6">
      <w:rPr>
        <w:noProof/>
      </w:rPr>
      <w:t>3</w:t>
    </w:r>
    <w:r>
      <w:rPr>
        <w:noProof/>
      </w:rPr>
      <w:fldChar w:fldCharType="end"/>
    </w:r>
  </w:p>
  <w:p w:rsidR="00350013" w:rsidRDefault="0066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4C" w:rsidRDefault="009D014C">
      <w:pPr>
        <w:spacing w:after="0" w:line="240" w:lineRule="auto"/>
      </w:pPr>
      <w:r>
        <w:separator/>
      </w:r>
    </w:p>
  </w:footnote>
  <w:footnote w:type="continuationSeparator" w:id="0">
    <w:p w:rsidR="009D014C" w:rsidRDefault="009D0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87C"/>
    <w:multiLevelType w:val="hybridMultilevel"/>
    <w:tmpl w:val="6A02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B9155B"/>
    <w:multiLevelType w:val="hybridMultilevel"/>
    <w:tmpl w:val="F928F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32A6F48"/>
    <w:multiLevelType w:val="hybridMultilevel"/>
    <w:tmpl w:val="0CE06E5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A1503"/>
    <w:multiLevelType w:val="multilevel"/>
    <w:tmpl w:val="9BE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0B"/>
    <w:rsid w:val="0002453E"/>
    <w:rsid w:val="00061941"/>
    <w:rsid w:val="00072220"/>
    <w:rsid w:val="00080B2E"/>
    <w:rsid w:val="00081160"/>
    <w:rsid w:val="000917F6"/>
    <w:rsid w:val="000A2703"/>
    <w:rsid w:val="000C4444"/>
    <w:rsid w:val="0010603C"/>
    <w:rsid w:val="001166AC"/>
    <w:rsid w:val="00123B1F"/>
    <w:rsid w:val="00132F52"/>
    <w:rsid w:val="0015279F"/>
    <w:rsid w:val="00166A41"/>
    <w:rsid w:val="00172F1F"/>
    <w:rsid w:val="00182015"/>
    <w:rsid w:val="00191E80"/>
    <w:rsid w:val="001C75D6"/>
    <w:rsid w:val="001D0587"/>
    <w:rsid w:val="001D5A9A"/>
    <w:rsid w:val="001E2D36"/>
    <w:rsid w:val="001F4B59"/>
    <w:rsid w:val="002020D8"/>
    <w:rsid w:val="00202649"/>
    <w:rsid w:val="002162CA"/>
    <w:rsid w:val="00221839"/>
    <w:rsid w:val="00226650"/>
    <w:rsid w:val="00293B01"/>
    <w:rsid w:val="002C2E17"/>
    <w:rsid w:val="002C33C7"/>
    <w:rsid w:val="002D22A8"/>
    <w:rsid w:val="002D742D"/>
    <w:rsid w:val="002D7712"/>
    <w:rsid w:val="00304C1C"/>
    <w:rsid w:val="003160F4"/>
    <w:rsid w:val="00316587"/>
    <w:rsid w:val="003263DE"/>
    <w:rsid w:val="00326A21"/>
    <w:rsid w:val="00364725"/>
    <w:rsid w:val="003766AC"/>
    <w:rsid w:val="0037718A"/>
    <w:rsid w:val="00380667"/>
    <w:rsid w:val="00394F2D"/>
    <w:rsid w:val="00396B78"/>
    <w:rsid w:val="00397038"/>
    <w:rsid w:val="003C4C4D"/>
    <w:rsid w:val="003C6F79"/>
    <w:rsid w:val="003F40E0"/>
    <w:rsid w:val="00414290"/>
    <w:rsid w:val="00430B83"/>
    <w:rsid w:val="0044518B"/>
    <w:rsid w:val="00464996"/>
    <w:rsid w:val="00470544"/>
    <w:rsid w:val="004707FC"/>
    <w:rsid w:val="00472F49"/>
    <w:rsid w:val="004A4811"/>
    <w:rsid w:val="004A5ABD"/>
    <w:rsid w:val="004D12B3"/>
    <w:rsid w:val="004F41C7"/>
    <w:rsid w:val="00540493"/>
    <w:rsid w:val="0054574D"/>
    <w:rsid w:val="005504CA"/>
    <w:rsid w:val="00551EBF"/>
    <w:rsid w:val="00563E9C"/>
    <w:rsid w:val="00565262"/>
    <w:rsid w:val="005D2092"/>
    <w:rsid w:val="005F7445"/>
    <w:rsid w:val="00623EB0"/>
    <w:rsid w:val="0064206D"/>
    <w:rsid w:val="006663D6"/>
    <w:rsid w:val="0068416E"/>
    <w:rsid w:val="006A7F22"/>
    <w:rsid w:val="006B12D3"/>
    <w:rsid w:val="006D4CC4"/>
    <w:rsid w:val="006D5ABD"/>
    <w:rsid w:val="006E75A6"/>
    <w:rsid w:val="0070549B"/>
    <w:rsid w:val="00712AC9"/>
    <w:rsid w:val="007135B9"/>
    <w:rsid w:val="007207EA"/>
    <w:rsid w:val="00730894"/>
    <w:rsid w:val="007424BA"/>
    <w:rsid w:val="007C1497"/>
    <w:rsid w:val="007C41C1"/>
    <w:rsid w:val="007E68F6"/>
    <w:rsid w:val="008068D4"/>
    <w:rsid w:val="0080785C"/>
    <w:rsid w:val="00825501"/>
    <w:rsid w:val="00867B41"/>
    <w:rsid w:val="00877E99"/>
    <w:rsid w:val="00887C97"/>
    <w:rsid w:val="008966F0"/>
    <w:rsid w:val="008C34D9"/>
    <w:rsid w:val="008C5E80"/>
    <w:rsid w:val="0090400D"/>
    <w:rsid w:val="00907963"/>
    <w:rsid w:val="0091470B"/>
    <w:rsid w:val="0093154F"/>
    <w:rsid w:val="00933FDD"/>
    <w:rsid w:val="00941DCC"/>
    <w:rsid w:val="0094238D"/>
    <w:rsid w:val="009549BE"/>
    <w:rsid w:val="009A6BF6"/>
    <w:rsid w:val="009D014C"/>
    <w:rsid w:val="009E2E75"/>
    <w:rsid w:val="009F4D4D"/>
    <w:rsid w:val="00A057DA"/>
    <w:rsid w:val="00A119D4"/>
    <w:rsid w:val="00A42761"/>
    <w:rsid w:val="00A55C5A"/>
    <w:rsid w:val="00A757C4"/>
    <w:rsid w:val="00AE478B"/>
    <w:rsid w:val="00B232F3"/>
    <w:rsid w:val="00B42C8D"/>
    <w:rsid w:val="00B516B8"/>
    <w:rsid w:val="00B6562B"/>
    <w:rsid w:val="00B7769B"/>
    <w:rsid w:val="00BA1C57"/>
    <w:rsid w:val="00BA5ABF"/>
    <w:rsid w:val="00BA76B4"/>
    <w:rsid w:val="00BA7DED"/>
    <w:rsid w:val="00BB4F1B"/>
    <w:rsid w:val="00BC485D"/>
    <w:rsid w:val="00C207DB"/>
    <w:rsid w:val="00C22278"/>
    <w:rsid w:val="00C567C1"/>
    <w:rsid w:val="00C8043F"/>
    <w:rsid w:val="00C94C4F"/>
    <w:rsid w:val="00CA1B1B"/>
    <w:rsid w:val="00CC31B8"/>
    <w:rsid w:val="00CC3ABE"/>
    <w:rsid w:val="00CE7FF4"/>
    <w:rsid w:val="00D06D3A"/>
    <w:rsid w:val="00DA2C6D"/>
    <w:rsid w:val="00DA5641"/>
    <w:rsid w:val="00DB30A2"/>
    <w:rsid w:val="00DB43CB"/>
    <w:rsid w:val="00DC2BDA"/>
    <w:rsid w:val="00DD486C"/>
    <w:rsid w:val="00E05AA3"/>
    <w:rsid w:val="00E35B04"/>
    <w:rsid w:val="00E72867"/>
    <w:rsid w:val="00E84463"/>
    <w:rsid w:val="00E91529"/>
    <w:rsid w:val="00E9431F"/>
    <w:rsid w:val="00ED5DC7"/>
    <w:rsid w:val="00EF226F"/>
    <w:rsid w:val="00F051D4"/>
    <w:rsid w:val="00F11A45"/>
    <w:rsid w:val="00F13D1A"/>
    <w:rsid w:val="00F31B68"/>
    <w:rsid w:val="00F3325A"/>
    <w:rsid w:val="00F4230E"/>
    <w:rsid w:val="00F537E2"/>
    <w:rsid w:val="00F62924"/>
    <w:rsid w:val="00FB5451"/>
    <w:rsid w:val="00FE09C6"/>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7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1470B"/>
    <w:rPr>
      <w:color w:val="0000FF"/>
      <w:u w:val="single"/>
    </w:rPr>
  </w:style>
  <w:style w:type="paragraph" w:styleId="Footer">
    <w:name w:val="footer"/>
    <w:basedOn w:val="Normal"/>
    <w:link w:val="FooterChar"/>
    <w:uiPriority w:val="99"/>
    <w:unhideWhenUsed/>
    <w:rsid w:val="009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0B"/>
    <w:rPr>
      <w:rFonts w:ascii="Calibri" w:eastAsia="Calibri" w:hAnsi="Calibri" w:cs="Times New Roman"/>
    </w:rPr>
  </w:style>
  <w:style w:type="character" w:styleId="Strong">
    <w:name w:val="Strong"/>
    <w:uiPriority w:val="22"/>
    <w:qFormat/>
    <w:rsid w:val="0091470B"/>
    <w:rPr>
      <w:b/>
      <w:bCs/>
    </w:rPr>
  </w:style>
  <w:style w:type="paragraph" w:styleId="ListParagraph">
    <w:name w:val="List Paragraph"/>
    <w:basedOn w:val="Normal"/>
    <w:uiPriority w:val="34"/>
    <w:qFormat/>
    <w:rsid w:val="0091470B"/>
    <w:pPr>
      <w:spacing w:after="0" w:line="240" w:lineRule="auto"/>
      <w:ind w:left="720"/>
      <w:contextualSpacing/>
    </w:pPr>
    <w:rPr>
      <w:rFonts w:ascii="Times New Roman" w:eastAsia="Times New Roman" w:hAnsi="Times New Roman"/>
      <w:sz w:val="24"/>
      <w:szCs w:val="24"/>
    </w:rPr>
  </w:style>
  <w:style w:type="character" w:styleId="Emphasis">
    <w:name w:val="Emphasis"/>
    <w:basedOn w:val="DefaultParagraphFont"/>
    <w:uiPriority w:val="20"/>
    <w:qFormat/>
    <w:rsid w:val="00F11A45"/>
    <w:rPr>
      <w:i/>
      <w:iCs/>
    </w:rPr>
  </w:style>
  <w:style w:type="character" w:styleId="FollowedHyperlink">
    <w:name w:val="FollowedHyperlink"/>
    <w:basedOn w:val="DefaultParagraphFont"/>
    <w:uiPriority w:val="99"/>
    <w:semiHidden/>
    <w:unhideWhenUsed/>
    <w:rsid w:val="003F40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7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1470B"/>
    <w:rPr>
      <w:color w:val="0000FF"/>
      <w:u w:val="single"/>
    </w:rPr>
  </w:style>
  <w:style w:type="paragraph" w:styleId="Footer">
    <w:name w:val="footer"/>
    <w:basedOn w:val="Normal"/>
    <w:link w:val="FooterChar"/>
    <w:uiPriority w:val="99"/>
    <w:unhideWhenUsed/>
    <w:rsid w:val="00914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0B"/>
    <w:rPr>
      <w:rFonts w:ascii="Calibri" w:eastAsia="Calibri" w:hAnsi="Calibri" w:cs="Times New Roman"/>
    </w:rPr>
  </w:style>
  <w:style w:type="character" w:styleId="Strong">
    <w:name w:val="Strong"/>
    <w:uiPriority w:val="22"/>
    <w:qFormat/>
    <w:rsid w:val="0091470B"/>
    <w:rPr>
      <w:b/>
      <w:bCs/>
    </w:rPr>
  </w:style>
  <w:style w:type="paragraph" w:styleId="ListParagraph">
    <w:name w:val="List Paragraph"/>
    <w:basedOn w:val="Normal"/>
    <w:uiPriority w:val="34"/>
    <w:qFormat/>
    <w:rsid w:val="0091470B"/>
    <w:pPr>
      <w:spacing w:after="0" w:line="240" w:lineRule="auto"/>
      <w:ind w:left="720"/>
      <w:contextualSpacing/>
    </w:pPr>
    <w:rPr>
      <w:rFonts w:ascii="Times New Roman" w:eastAsia="Times New Roman" w:hAnsi="Times New Roman"/>
      <w:sz w:val="24"/>
      <w:szCs w:val="24"/>
    </w:rPr>
  </w:style>
  <w:style w:type="character" w:styleId="Emphasis">
    <w:name w:val="Emphasis"/>
    <w:basedOn w:val="DefaultParagraphFont"/>
    <w:uiPriority w:val="20"/>
    <w:qFormat/>
    <w:rsid w:val="00F11A45"/>
    <w:rPr>
      <w:i/>
      <w:iCs/>
    </w:rPr>
  </w:style>
  <w:style w:type="character" w:styleId="FollowedHyperlink">
    <w:name w:val="FollowedHyperlink"/>
    <w:basedOn w:val="DefaultParagraphFont"/>
    <w:uiPriority w:val="99"/>
    <w:semiHidden/>
    <w:unhideWhenUsed/>
    <w:rsid w:val="003F4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140">
      <w:bodyDiv w:val="1"/>
      <w:marLeft w:val="0"/>
      <w:marRight w:val="0"/>
      <w:marTop w:val="0"/>
      <w:marBottom w:val="0"/>
      <w:divBdr>
        <w:top w:val="none" w:sz="0" w:space="0" w:color="auto"/>
        <w:left w:val="none" w:sz="0" w:space="0" w:color="auto"/>
        <w:bottom w:val="none" w:sz="0" w:space="0" w:color="auto"/>
        <w:right w:val="none" w:sz="0" w:space="0" w:color="auto"/>
      </w:divBdr>
    </w:div>
    <w:div w:id="289557088">
      <w:bodyDiv w:val="1"/>
      <w:marLeft w:val="0"/>
      <w:marRight w:val="0"/>
      <w:marTop w:val="0"/>
      <w:marBottom w:val="0"/>
      <w:divBdr>
        <w:top w:val="none" w:sz="0" w:space="0" w:color="auto"/>
        <w:left w:val="none" w:sz="0" w:space="0" w:color="auto"/>
        <w:bottom w:val="none" w:sz="0" w:space="0" w:color="auto"/>
        <w:right w:val="none" w:sz="0" w:space="0" w:color="auto"/>
      </w:divBdr>
    </w:div>
    <w:div w:id="400644145">
      <w:bodyDiv w:val="1"/>
      <w:marLeft w:val="0"/>
      <w:marRight w:val="0"/>
      <w:marTop w:val="0"/>
      <w:marBottom w:val="0"/>
      <w:divBdr>
        <w:top w:val="none" w:sz="0" w:space="0" w:color="auto"/>
        <w:left w:val="none" w:sz="0" w:space="0" w:color="auto"/>
        <w:bottom w:val="none" w:sz="0" w:space="0" w:color="auto"/>
        <w:right w:val="none" w:sz="0" w:space="0" w:color="auto"/>
      </w:divBdr>
      <w:divsChild>
        <w:div w:id="1679768199">
          <w:marLeft w:val="0"/>
          <w:marRight w:val="0"/>
          <w:marTop w:val="0"/>
          <w:marBottom w:val="0"/>
          <w:divBdr>
            <w:top w:val="none" w:sz="0" w:space="0" w:color="auto"/>
            <w:left w:val="none" w:sz="0" w:space="0" w:color="auto"/>
            <w:bottom w:val="none" w:sz="0" w:space="0" w:color="auto"/>
            <w:right w:val="none" w:sz="0" w:space="0" w:color="auto"/>
          </w:divBdr>
          <w:divsChild>
            <w:div w:id="776828276">
              <w:marLeft w:val="0"/>
              <w:marRight w:val="0"/>
              <w:marTop w:val="0"/>
              <w:marBottom w:val="0"/>
              <w:divBdr>
                <w:top w:val="none" w:sz="0" w:space="0" w:color="auto"/>
                <w:left w:val="none" w:sz="0" w:space="0" w:color="auto"/>
                <w:bottom w:val="none" w:sz="0" w:space="0" w:color="auto"/>
                <w:right w:val="none" w:sz="0" w:space="0" w:color="auto"/>
              </w:divBdr>
            </w:div>
            <w:div w:id="62069104">
              <w:marLeft w:val="0"/>
              <w:marRight w:val="0"/>
              <w:marTop w:val="0"/>
              <w:marBottom w:val="0"/>
              <w:divBdr>
                <w:top w:val="none" w:sz="0" w:space="0" w:color="auto"/>
                <w:left w:val="none" w:sz="0" w:space="0" w:color="auto"/>
                <w:bottom w:val="none" w:sz="0" w:space="0" w:color="auto"/>
                <w:right w:val="none" w:sz="0" w:space="0" w:color="auto"/>
              </w:divBdr>
            </w:div>
            <w:div w:id="1519153993">
              <w:marLeft w:val="0"/>
              <w:marRight w:val="0"/>
              <w:marTop w:val="0"/>
              <w:marBottom w:val="0"/>
              <w:divBdr>
                <w:top w:val="none" w:sz="0" w:space="0" w:color="auto"/>
                <w:left w:val="none" w:sz="0" w:space="0" w:color="auto"/>
                <w:bottom w:val="none" w:sz="0" w:space="0" w:color="auto"/>
                <w:right w:val="none" w:sz="0" w:space="0" w:color="auto"/>
              </w:divBdr>
              <w:divsChild>
                <w:div w:id="1973100018">
                  <w:marLeft w:val="0"/>
                  <w:marRight w:val="0"/>
                  <w:marTop w:val="0"/>
                  <w:marBottom w:val="0"/>
                  <w:divBdr>
                    <w:top w:val="none" w:sz="0" w:space="0" w:color="auto"/>
                    <w:left w:val="none" w:sz="0" w:space="0" w:color="auto"/>
                    <w:bottom w:val="none" w:sz="0" w:space="0" w:color="auto"/>
                    <w:right w:val="none" w:sz="0" w:space="0" w:color="auto"/>
                  </w:divBdr>
                </w:div>
                <w:div w:id="12714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644">
          <w:marLeft w:val="0"/>
          <w:marRight w:val="0"/>
          <w:marTop w:val="0"/>
          <w:marBottom w:val="0"/>
          <w:divBdr>
            <w:top w:val="none" w:sz="0" w:space="0" w:color="auto"/>
            <w:left w:val="none" w:sz="0" w:space="0" w:color="auto"/>
            <w:bottom w:val="none" w:sz="0" w:space="0" w:color="auto"/>
            <w:right w:val="none" w:sz="0" w:space="0" w:color="auto"/>
          </w:divBdr>
          <w:divsChild>
            <w:div w:id="313683880">
              <w:marLeft w:val="0"/>
              <w:marRight w:val="0"/>
              <w:marTop w:val="0"/>
              <w:marBottom w:val="0"/>
              <w:divBdr>
                <w:top w:val="none" w:sz="0" w:space="0" w:color="auto"/>
                <w:left w:val="none" w:sz="0" w:space="0" w:color="auto"/>
                <w:bottom w:val="none" w:sz="0" w:space="0" w:color="auto"/>
                <w:right w:val="none" w:sz="0" w:space="0" w:color="auto"/>
              </w:divBdr>
            </w:div>
            <w:div w:id="593711769">
              <w:marLeft w:val="0"/>
              <w:marRight w:val="0"/>
              <w:marTop w:val="0"/>
              <w:marBottom w:val="0"/>
              <w:divBdr>
                <w:top w:val="none" w:sz="0" w:space="0" w:color="auto"/>
                <w:left w:val="none" w:sz="0" w:space="0" w:color="auto"/>
                <w:bottom w:val="none" w:sz="0" w:space="0" w:color="auto"/>
                <w:right w:val="none" w:sz="0" w:space="0" w:color="auto"/>
              </w:divBdr>
            </w:div>
            <w:div w:id="1259364812">
              <w:marLeft w:val="0"/>
              <w:marRight w:val="0"/>
              <w:marTop w:val="0"/>
              <w:marBottom w:val="0"/>
              <w:divBdr>
                <w:top w:val="none" w:sz="0" w:space="0" w:color="auto"/>
                <w:left w:val="none" w:sz="0" w:space="0" w:color="auto"/>
                <w:bottom w:val="none" w:sz="0" w:space="0" w:color="auto"/>
                <w:right w:val="none" w:sz="0" w:space="0" w:color="auto"/>
              </w:divBdr>
              <w:divsChild>
                <w:div w:id="1374304390">
                  <w:marLeft w:val="0"/>
                  <w:marRight w:val="0"/>
                  <w:marTop w:val="0"/>
                  <w:marBottom w:val="0"/>
                  <w:divBdr>
                    <w:top w:val="none" w:sz="0" w:space="0" w:color="auto"/>
                    <w:left w:val="none" w:sz="0" w:space="0" w:color="auto"/>
                    <w:bottom w:val="none" w:sz="0" w:space="0" w:color="auto"/>
                    <w:right w:val="none" w:sz="0" w:space="0" w:color="auto"/>
                  </w:divBdr>
                </w:div>
                <w:div w:id="2055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3522">
      <w:bodyDiv w:val="1"/>
      <w:marLeft w:val="0"/>
      <w:marRight w:val="0"/>
      <w:marTop w:val="0"/>
      <w:marBottom w:val="0"/>
      <w:divBdr>
        <w:top w:val="none" w:sz="0" w:space="0" w:color="auto"/>
        <w:left w:val="none" w:sz="0" w:space="0" w:color="auto"/>
        <w:bottom w:val="none" w:sz="0" w:space="0" w:color="auto"/>
        <w:right w:val="none" w:sz="0" w:space="0" w:color="auto"/>
      </w:divBdr>
    </w:div>
    <w:div w:id="935597467">
      <w:bodyDiv w:val="1"/>
      <w:marLeft w:val="0"/>
      <w:marRight w:val="0"/>
      <w:marTop w:val="0"/>
      <w:marBottom w:val="0"/>
      <w:divBdr>
        <w:top w:val="none" w:sz="0" w:space="0" w:color="auto"/>
        <w:left w:val="none" w:sz="0" w:space="0" w:color="auto"/>
        <w:bottom w:val="none" w:sz="0" w:space="0" w:color="auto"/>
        <w:right w:val="none" w:sz="0" w:space="0" w:color="auto"/>
      </w:divBdr>
      <w:divsChild>
        <w:div w:id="294605005">
          <w:marLeft w:val="0"/>
          <w:marRight w:val="0"/>
          <w:marTop w:val="0"/>
          <w:marBottom w:val="0"/>
          <w:divBdr>
            <w:top w:val="none" w:sz="0" w:space="0" w:color="auto"/>
            <w:left w:val="none" w:sz="0" w:space="0" w:color="auto"/>
            <w:bottom w:val="none" w:sz="0" w:space="0" w:color="auto"/>
            <w:right w:val="none" w:sz="0" w:space="0" w:color="auto"/>
          </w:divBdr>
          <w:divsChild>
            <w:div w:id="954597873">
              <w:marLeft w:val="0"/>
              <w:marRight w:val="0"/>
              <w:marTop w:val="0"/>
              <w:marBottom w:val="0"/>
              <w:divBdr>
                <w:top w:val="none" w:sz="0" w:space="0" w:color="auto"/>
                <w:left w:val="none" w:sz="0" w:space="0" w:color="auto"/>
                <w:bottom w:val="none" w:sz="0" w:space="0" w:color="auto"/>
                <w:right w:val="none" w:sz="0" w:space="0" w:color="auto"/>
              </w:divBdr>
            </w:div>
          </w:divsChild>
        </w:div>
        <w:div w:id="1414862638">
          <w:marLeft w:val="0"/>
          <w:marRight w:val="0"/>
          <w:marTop w:val="0"/>
          <w:marBottom w:val="0"/>
          <w:divBdr>
            <w:top w:val="none" w:sz="0" w:space="0" w:color="auto"/>
            <w:left w:val="none" w:sz="0" w:space="0" w:color="auto"/>
            <w:bottom w:val="none" w:sz="0" w:space="0" w:color="auto"/>
            <w:right w:val="none" w:sz="0" w:space="0" w:color="auto"/>
          </w:divBdr>
        </w:div>
        <w:div w:id="1048073010">
          <w:marLeft w:val="0"/>
          <w:marRight w:val="0"/>
          <w:marTop w:val="0"/>
          <w:marBottom w:val="0"/>
          <w:divBdr>
            <w:top w:val="none" w:sz="0" w:space="0" w:color="auto"/>
            <w:left w:val="none" w:sz="0" w:space="0" w:color="auto"/>
            <w:bottom w:val="none" w:sz="0" w:space="0" w:color="auto"/>
            <w:right w:val="none" w:sz="0" w:space="0" w:color="auto"/>
          </w:divBdr>
          <w:divsChild>
            <w:div w:id="14084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0785">
      <w:bodyDiv w:val="1"/>
      <w:marLeft w:val="0"/>
      <w:marRight w:val="0"/>
      <w:marTop w:val="0"/>
      <w:marBottom w:val="0"/>
      <w:divBdr>
        <w:top w:val="none" w:sz="0" w:space="0" w:color="auto"/>
        <w:left w:val="none" w:sz="0" w:space="0" w:color="auto"/>
        <w:bottom w:val="none" w:sz="0" w:space="0" w:color="auto"/>
        <w:right w:val="none" w:sz="0" w:space="0" w:color="auto"/>
      </w:divBdr>
    </w:div>
    <w:div w:id="980503014">
      <w:bodyDiv w:val="1"/>
      <w:marLeft w:val="0"/>
      <w:marRight w:val="0"/>
      <w:marTop w:val="0"/>
      <w:marBottom w:val="0"/>
      <w:divBdr>
        <w:top w:val="none" w:sz="0" w:space="0" w:color="auto"/>
        <w:left w:val="none" w:sz="0" w:space="0" w:color="auto"/>
        <w:bottom w:val="none" w:sz="0" w:space="0" w:color="auto"/>
        <w:right w:val="none" w:sz="0" w:space="0" w:color="auto"/>
      </w:divBdr>
      <w:divsChild>
        <w:div w:id="696469043">
          <w:marLeft w:val="0"/>
          <w:marRight w:val="0"/>
          <w:marTop w:val="0"/>
          <w:marBottom w:val="0"/>
          <w:divBdr>
            <w:top w:val="none" w:sz="0" w:space="0" w:color="auto"/>
            <w:left w:val="none" w:sz="0" w:space="0" w:color="auto"/>
            <w:bottom w:val="none" w:sz="0" w:space="0" w:color="auto"/>
            <w:right w:val="none" w:sz="0" w:space="0" w:color="auto"/>
          </w:divBdr>
          <w:divsChild>
            <w:div w:id="1637370220">
              <w:marLeft w:val="0"/>
              <w:marRight w:val="0"/>
              <w:marTop w:val="0"/>
              <w:marBottom w:val="0"/>
              <w:divBdr>
                <w:top w:val="none" w:sz="0" w:space="0" w:color="auto"/>
                <w:left w:val="none" w:sz="0" w:space="0" w:color="auto"/>
                <w:bottom w:val="none" w:sz="0" w:space="0" w:color="auto"/>
                <w:right w:val="none" w:sz="0" w:space="0" w:color="auto"/>
              </w:divBdr>
            </w:div>
            <w:div w:id="1370492891">
              <w:marLeft w:val="0"/>
              <w:marRight w:val="0"/>
              <w:marTop w:val="0"/>
              <w:marBottom w:val="0"/>
              <w:divBdr>
                <w:top w:val="none" w:sz="0" w:space="0" w:color="auto"/>
                <w:left w:val="none" w:sz="0" w:space="0" w:color="auto"/>
                <w:bottom w:val="none" w:sz="0" w:space="0" w:color="auto"/>
                <w:right w:val="none" w:sz="0" w:space="0" w:color="auto"/>
              </w:divBdr>
            </w:div>
            <w:div w:id="242178642">
              <w:marLeft w:val="0"/>
              <w:marRight w:val="0"/>
              <w:marTop w:val="0"/>
              <w:marBottom w:val="0"/>
              <w:divBdr>
                <w:top w:val="none" w:sz="0" w:space="0" w:color="auto"/>
                <w:left w:val="none" w:sz="0" w:space="0" w:color="auto"/>
                <w:bottom w:val="none" w:sz="0" w:space="0" w:color="auto"/>
                <w:right w:val="none" w:sz="0" w:space="0" w:color="auto"/>
              </w:divBdr>
              <w:divsChild>
                <w:div w:id="1415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7865">
      <w:bodyDiv w:val="1"/>
      <w:marLeft w:val="0"/>
      <w:marRight w:val="0"/>
      <w:marTop w:val="0"/>
      <w:marBottom w:val="0"/>
      <w:divBdr>
        <w:top w:val="none" w:sz="0" w:space="0" w:color="auto"/>
        <w:left w:val="none" w:sz="0" w:space="0" w:color="auto"/>
        <w:bottom w:val="none" w:sz="0" w:space="0" w:color="auto"/>
        <w:right w:val="none" w:sz="0" w:space="0" w:color="auto"/>
      </w:divBdr>
    </w:div>
    <w:div w:id="1030030816">
      <w:bodyDiv w:val="1"/>
      <w:marLeft w:val="0"/>
      <w:marRight w:val="0"/>
      <w:marTop w:val="0"/>
      <w:marBottom w:val="0"/>
      <w:divBdr>
        <w:top w:val="none" w:sz="0" w:space="0" w:color="auto"/>
        <w:left w:val="none" w:sz="0" w:space="0" w:color="auto"/>
        <w:bottom w:val="none" w:sz="0" w:space="0" w:color="auto"/>
        <w:right w:val="none" w:sz="0" w:space="0" w:color="auto"/>
      </w:divBdr>
    </w:div>
    <w:div w:id="1050763962">
      <w:bodyDiv w:val="1"/>
      <w:marLeft w:val="0"/>
      <w:marRight w:val="0"/>
      <w:marTop w:val="0"/>
      <w:marBottom w:val="0"/>
      <w:divBdr>
        <w:top w:val="none" w:sz="0" w:space="0" w:color="auto"/>
        <w:left w:val="none" w:sz="0" w:space="0" w:color="auto"/>
        <w:bottom w:val="none" w:sz="0" w:space="0" w:color="auto"/>
        <w:right w:val="none" w:sz="0" w:space="0" w:color="auto"/>
      </w:divBdr>
    </w:div>
    <w:div w:id="1056322194">
      <w:bodyDiv w:val="1"/>
      <w:marLeft w:val="0"/>
      <w:marRight w:val="0"/>
      <w:marTop w:val="0"/>
      <w:marBottom w:val="0"/>
      <w:divBdr>
        <w:top w:val="none" w:sz="0" w:space="0" w:color="auto"/>
        <w:left w:val="none" w:sz="0" w:space="0" w:color="auto"/>
        <w:bottom w:val="none" w:sz="0" w:space="0" w:color="auto"/>
        <w:right w:val="none" w:sz="0" w:space="0" w:color="auto"/>
      </w:divBdr>
    </w:div>
    <w:div w:id="1643073230">
      <w:bodyDiv w:val="1"/>
      <w:marLeft w:val="0"/>
      <w:marRight w:val="0"/>
      <w:marTop w:val="0"/>
      <w:marBottom w:val="0"/>
      <w:divBdr>
        <w:top w:val="none" w:sz="0" w:space="0" w:color="auto"/>
        <w:left w:val="none" w:sz="0" w:space="0" w:color="auto"/>
        <w:bottom w:val="none" w:sz="0" w:space="0" w:color="auto"/>
        <w:right w:val="none" w:sz="0" w:space="0" w:color="auto"/>
      </w:divBdr>
    </w:div>
    <w:div w:id="1672759551">
      <w:bodyDiv w:val="1"/>
      <w:marLeft w:val="0"/>
      <w:marRight w:val="0"/>
      <w:marTop w:val="0"/>
      <w:marBottom w:val="0"/>
      <w:divBdr>
        <w:top w:val="none" w:sz="0" w:space="0" w:color="auto"/>
        <w:left w:val="none" w:sz="0" w:space="0" w:color="auto"/>
        <w:bottom w:val="none" w:sz="0" w:space="0" w:color="auto"/>
        <w:right w:val="none" w:sz="0" w:space="0" w:color="auto"/>
      </w:divBdr>
      <w:divsChild>
        <w:div w:id="1154640911">
          <w:marLeft w:val="0"/>
          <w:marRight w:val="0"/>
          <w:marTop w:val="0"/>
          <w:marBottom w:val="0"/>
          <w:divBdr>
            <w:top w:val="none" w:sz="0" w:space="0" w:color="auto"/>
            <w:left w:val="none" w:sz="0" w:space="0" w:color="auto"/>
            <w:bottom w:val="none" w:sz="0" w:space="0" w:color="auto"/>
            <w:right w:val="none" w:sz="0" w:space="0" w:color="auto"/>
          </w:divBdr>
          <w:divsChild>
            <w:div w:id="1897163517">
              <w:marLeft w:val="0"/>
              <w:marRight w:val="0"/>
              <w:marTop w:val="0"/>
              <w:marBottom w:val="0"/>
              <w:divBdr>
                <w:top w:val="none" w:sz="0" w:space="0" w:color="auto"/>
                <w:left w:val="none" w:sz="0" w:space="0" w:color="auto"/>
                <w:bottom w:val="none" w:sz="0" w:space="0" w:color="auto"/>
                <w:right w:val="none" w:sz="0" w:space="0" w:color="auto"/>
              </w:divBdr>
            </w:div>
            <w:div w:id="30570514">
              <w:marLeft w:val="0"/>
              <w:marRight w:val="0"/>
              <w:marTop w:val="0"/>
              <w:marBottom w:val="0"/>
              <w:divBdr>
                <w:top w:val="none" w:sz="0" w:space="0" w:color="auto"/>
                <w:left w:val="none" w:sz="0" w:space="0" w:color="auto"/>
                <w:bottom w:val="none" w:sz="0" w:space="0" w:color="auto"/>
                <w:right w:val="none" w:sz="0" w:space="0" w:color="auto"/>
              </w:divBdr>
            </w:div>
            <w:div w:id="2138833216">
              <w:marLeft w:val="0"/>
              <w:marRight w:val="0"/>
              <w:marTop w:val="0"/>
              <w:marBottom w:val="0"/>
              <w:divBdr>
                <w:top w:val="none" w:sz="0" w:space="0" w:color="auto"/>
                <w:left w:val="none" w:sz="0" w:space="0" w:color="auto"/>
                <w:bottom w:val="none" w:sz="0" w:space="0" w:color="auto"/>
                <w:right w:val="none" w:sz="0" w:space="0" w:color="auto"/>
              </w:divBdr>
            </w:div>
            <w:div w:id="1857379356">
              <w:marLeft w:val="0"/>
              <w:marRight w:val="0"/>
              <w:marTop w:val="0"/>
              <w:marBottom w:val="0"/>
              <w:divBdr>
                <w:top w:val="none" w:sz="0" w:space="0" w:color="auto"/>
                <w:left w:val="none" w:sz="0" w:space="0" w:color="auto"/>
                <w:bottom w:val="none" w:sz="0" w:space="0" w:color="auto"/>
                <w:right w:val="none" w:sz="0" w:space="0" w:color="auto"/>
              </w:divBdr>
              <w:divsChild>
                <w:div w:id="18434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1456">
      <w:bodyDiv w:val="1"/>
      <w:marLeft w:val="0"/>
      <w:marRight w:val="0"/>
      <w:marTop w:val="0"/>
      <w:marBottom w:val="0"/>
      <w:divBdr>
        <w:top w:val="none" w:sz="0" w:space="0" w:color="auto"/>
        <w:left w:val="none" w:sz="0" w:space="0" w:color="auto"/>
        <w:bottom w:val="none" w:sz="0" w:space="0" w:color="auto"/>
        <w:right w:val="none" w:sz="0" w:space="0" w:color="auto"/>
      </w:divBdr>
      <w:divsChild>
        <w:div w:id="1654137341">
          <w:marLeft w:val="0"/>
          <w:marRight w:val="0"/>
          <w:marTop w:val="0"/>
          <w:marBottom w:val="0"/>
          <w:divBdr>
            <w:top w:val="none" w:sz="0" w:space="0" w:color="auto"/>
            <w:left w:val="none" w:sz="0" w:space="0" w:color="auto"/>
            <w:bottom w:val="none" w:sz="0" w:space="0" w:color="auto"/>
            <w:right w:val="none" w:sz="0" w:space="0" w:color="auto"/>
          </w:divBdr>
          <w:divsChild>
            <w:div w:id="221791021">
              <w:marLeft w:val="0"/>
              <w:marRight w:val="0"/>
              <w:marTop w:val="0"/>
              <w:marBottom w:val="0"/>
              <w:divBdr>
                <w:top w:val="none" w:sz="0" w:space="0" w:color="auto"/>
                <w:left w:val="none" w:sz="0" w:space="0" w:color="auto"/>
                <w:bottom w:val="none" w:sz="0" w:space="0" w:color="auto"/>
                <w:right w:val="none" w:sz="0" w:space="0" w:color="auto"/>
              </w:divBdr>
            </w:div>
            <w:div w:id="657005593">
              <w:marLeft w:val="0"/>
              <w:marRight w:val="0"/>
              <w:marTop w:val="0"/>
              <w:marBottom w:val="0"/>
              <w:divBdr>
                <w:top w:val="none" w:sz="0" w:space="0" w:color="auto"/>
                <w:left w:val="none" w:sz="0" w:space="0" w:color="auto"/>
                <w:bottom w:val="none" w:sz="0" w:space="0" w:color="auto"/>
                <w:right w:val="none" w:sz="0" w:space="0" w:color="auto"/>
              </w:divBdr>
            </w:div>
            <w:div w:id="1887717143">
              <w:marLeft w:val="0"/>
              <w:marRight w:val="0"/>
              <w:marTop w:val="0"/>
              <w:marBottom w:val="0"/>
              <w:divBdr>
                <w:top w:val="none" w:sz="0" w:space="0" w:color="auto"/>
                <w:left w:val="none" w:sz="0" w:space="0" w:color="auto"/>
                <w:bottom w:val="none" w:sz="0" w:space="0" w:color="auto"/>
                <w:right w:val="none" w:sz="0" w:space="0" w:color="auto"/>
              </w:divBdr>
              <w:divsChild>
                <w:div w:id="1063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0315">
      <w:bodyDiv w:val="1"/>
      <w:marLeft w:val="0"/>
      <w:marRight w:val="0"/>
      <w:marTop w:val="0"/>
      <w:marBottom w:val="0"/>
      <w:divBdr>
        <w:top w:val="none" w:sz="0" w:space="0" w:color="auto"/>
        <w:left w:val="none" w:sz="0" w:space="0" w:color="auto"/>
        <w:bottom w:val="none" w:sz="0" w:space="0" w:color="auto"/>
        <w:right w:val="none" w:sz="0" w:space="0" w:color="auto"/>
      </w:divBdr>
      <w:divsChild>
        <w:div w:id="811408349">
          <w:marLeft w:val="0"/>
          <w:marRight w:val="0"/>
          <w:marTop w:val="0"/>
          <w:marBottom w:val="0"/>
          <w:divBdr>
            <w:top w:val="none" w:sz="0" w:space="0" w:color="auto"/>
            <w:left w:val="none" w:sz="0" w:space="0" w:color="auto"/>
            <w:bottom w:val="none" w:sz="0" w:space="0" w:color="auto"/>
            <w:right w:val="none" w:sz="0" w:space="0" w:color="auto"/>
          </w:divBdr>
          <w:divsChild>
            <w:div w:id="1334142495">
              <w:marLeft w:val="0"/>
              <w:marRight w:val="0"/>
              <w:marTop w:val="0"/>
              <w:marBottom w:val="0"/>
              <w:divBdr>
                <w:top w:val="none" w:sz="0" w:space="0" w:color="auto"/>
                <w:left w:val="none" w:sz="0" w:space="0" w:color="auto"/>
                <w:bottom w:val="none" w:sz="0" w:space="0" w:color="auto"/>
                <w:right w:val="none" w:sz="0" w:space="0" w:color="auto"/>
              </w:divBdr>
            </w:div>
            <w:div w:id="1584414070">
              <w:marLeft w:val="0"/>
              <w:marRight w:val="0"/>
              <w:marTop w:val="0"/>
              <w:marBottom w:val="0"/>
              <w:divBdr>
                <w:top w:val="none" w:sz="0" w:space="0" w:color="auto"/>
                <w:left w:val="none" w:sz="0" w:space="0" w:color="auto"/>
                <w:bottom w:val="none" w:sz="0" w:space="0" w:color="auto"/>
                <w:right w:val="none" w:sz="0" w:space="0" w:color="auto"/>
              </w:divBdr>
            </w:div>
            <w:div w:id="2009752309">
              <w:marLeft w:val="0"/>
              <w:marRight w:val="0"/>
              <w:marTop w:val="0"/>
              <w:marBottom w:val="0"/>
              <w:divBdr>
                <w:top w:val="none" w:sz="0" w:space="0" w:color="auto"/>
                <w:left w:val="none" w:sz="0" w:space="0" w:color="auto"/>
                <w:bottom w:val="none" w:sz="0" w:space="0" w:color="auto"/>
                <w:right w:val="none" w:sz="0" w:space="0" w:color="auto"/>
              </w:divBdr>
            </w:div>
            <w:div w:id="48580434">
              <w:marLeft w:val="0"/>
              <w:marRight w:val="0"/>
              <w:marTop w:val="0"/>
              <w:marBottom w:val="0"/>
              <w:divBdr>
                <w:top w:val="none" w:sz="0" w:space="0" w:color="auto"/>
                <w:left w:val="none" w:sz="0" w:space="0" w:color="auto"/>
                <w:bottom w:val="none" w:sz="0" w:space="0" w:color="auto"/>
                <w:right w:val="none" w:sz="0" w:space="0" w:color="auto"/>
              </w:divBdr>
              <w:divsChild>
                <w:div w:id="378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budget/" TargetMode="External"/><Relationship Id="rId13" Type="http://schemas.openxmlformats.org/officeDocument/2006/relationships/hyperlink" Target="https://www.cms.gov/Newsroom/MediaReleaseDatabase/Press-releases/2016-Press-releases-items/2016-02-08.html?elq_cid=1597125&amp;x_id" TargetMode="External"/><Relationship Id="rId18" Type="http://schemas.openxmlformats.org/officeDocument/2006/relationships/hyperlink" Target="https://s3.amazonaws.com/public-inspection.federalregister.gov/2016-02789.pdf" TargetMode="External"/><Relationship Id="rId3" Type="http://schemas.microsoft.com/office/2007/relationships/stylesWithEffects" Target="stylesWithEffects.xml"/><Relationship Id="rId21" Type="http://schemas.openxmlformats.org/officeDocument/2006/relationships/hyperlink" Target="https://www.ncoa.org/news/ncoa-news/center-for-benefits-news/updated-benefits-eligibility-2016/?utm_source=email&amp;utm_medium=newsletter&amp;utm_content=income_charts_2016&amp;utm_campaign=BenefitsAlerts&amp;utm_term=2016_02_17" TargetMode="External"/><Relationship Id="rId7" Type="http://schemas.openxmlformats.org/officeDocument/2006/relationships/endnotes" Target="endnotes.xml"/><Relationship Id="rId12" Type="http://schemas.openxmlformats.org/officeDocument/2006/relationships/hyperlink" Target="https://www.whitehouse.gov/the-press-office/2016/02/02/president-obama-proposes-11-billion-new-funding-address-prescription" TargetMode="External"/><Relationship Id="rId17" Type="http://schemas.openxmlformats.org/officeDocument/2006/relationships/hyperlink" Target="http://bipartisanpolicy.org/events/release-of-recommendations-to-address-long-term-care-financ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DJhsBNKCDYCgWxvBGobTc4jyeDP5H8IULFKIXao8STcT7x-LlM2uOqvW4DKYEDp_dTGYwPSADHORfogM2c9rPehDeigk2tPljIMY-ZL4Y_aZnGtrjNWkZn6mszKEjP3smuzz5Cs_DoHzvSSlkb4FuyvnlVQ2OuO8Oylbmvm3ikIh7hIRVNOekDj2PE2wXqTt2t5GedsAT81ErvtOMOGjQoSaOJoecU9O0HnTEhFqWWZ7f3Sb3T41xNYKY5R0sLBetaUaPWMDukc=&amp;c=PzIKRMVPhYyLULHbaiHc4Pcj5gVixpxjoFcmwKdFGBmcJRd5PR_weQ==&amp;ch=1Fsep9iycWz0moOmIhp2CVfUOSFr4Rst7pHXdHjSBzCqDy9pxFR4sg==" TargetMode="External"/><Relationship Id="rId20" Type="http://schemas.openxmlformats.org/officeDocument/2006/relationships/hyperlink" Target="https://www.federalregister.gov/articles/2016/01/25/2016-01450/annual-update-of-the-hhs-poverty-guidelin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6/02/05/health/under-pressure-fda-adds-measures-on-opioid-abuse.html?partner=rss&amp;emc=rss&amp;elq_cid=1597125&amp;x_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tarum.org/sites/default/files/uploaded-related-files/CSHS-Spending-Brief_February_2016.pdf" TargetMode="External"/><Relationship Id="rId23" Type="http://schemas.openxmlformats.org/officeDocument/2006/relationships/footer" Target="footer1.xml"/><Relationship Id="rId10" Type="http://schemas.openxmlformats.org/officeDocument/2006/relationships/hyperlink" Target="http://www.lcao.org/letters-to-house-and-senate-responding-to-president-obamas-fiscal-year-2017-budget/" TargetMode="External"/><Relationship Id="rId19" Type="http://schemas.openxmlformats.org/officeDocument/2006/relationships/hyperlink" Target="http://www.justiceinaging.org/caregivers/" TargetMode="External"/><Relationship Id="rId4" Type="http://schemas.openxmlformats.org/officeDocument/2006/relationships/settings" Target="settings.xml"/><Relationship Id="rId9" Type="http://schemas.openxmlformats.org/officeDocument/2006/relationships/hyperlink" Target="http://thehill.com/policy/healthcare/267724-obama-to-call-for-1-billion-funding-boost-for-cancer-research?elq_cid=1597125&amp;x_id" TargetMode="External"/><Relationship Id="rId14" Type="http://schemas.openxmlformats.org/officeDocument/2006/relationships/hyperlink" Target="http://thehill.com/policy/defense/268469-gop-senator-key-va-program-a-systemic-failure?elq_cid=1597125&amp;x_id" TargetMode="External"/><Relationship Id="rId22" Type="http://schemas.openxmlformats.org/officeDocument/2006/relationships/hyperlink" Target="https://www.nia.nih.gov/health/publication/organ-donation-and-transplantation?utm_source=20160208_organdonation&amp;utm_medium=email&amp;utm_campaign=e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Brian Lindberg</cp:lastModifiedBy>
  <cp:revision>4</cp:revision>
  <dcterms:created xsi:type="dcterms:W3CDTF">2016-03-03T03:54:00Z</dcterms:created>
  <dcterms:modified xsi:type="dcterms:W3CDTF">2016-03-03T06:48:00Z</dcterms:modified>
</cp:coreProperties>
</file>