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87" w:rsidRPr="004C7173" w:rsidRDefault="00F66C87" w:rsidP="004C7173">
      <w:pPr>
        <w:pStyle w:val="Title"/>
        <w:spacing w:after="120"/>
        <w:rPr>
          <w:rFonts w:asciiTheme="minorHAnsi" w:hAnsiTheme="minorHAnsi"/>
          <w:sz w:val="22"/>
        </w:rPr>
      </w:pPr>
      <w:bookmarkStart w:id="0" w:name="_GoBack"/>
      <w:bookmarkEnd w:id="0"/>
      <w:r w:rsidRPr="004C7173">
        <w:rPr>
          <w:rFonts w:asciiTheme="minorHAnsi" w:hAnsiTheme="minorHAnsi"/>
          <w:sz w:val="22"/>
        </w:rPr>
        <w:t>Title VII</w:t>
      </w:r>
      <w:r w:rsidR="00C64DE2" w:rsidRPr="004C7173">
        <w:rPr>
          <w:rFonts w:asciiTheme="minorHAnsi" w:hAnsiTheme="minorHAnsi"/>
          <w:sz w:val="22"/>
        </w:rPr>
        <w:t xml:space="preserve"> and Title VIII</w:t>
      </w:r>
      <w:r w:rsidRPr="004C7173">
        <w:rPr>
          <w:rFonts w:asciiTheme="minorHAnsi" w:hAnsiTheme="minorHAnsi"/>
          <w:sz w:val="22"/>
        </w:rPr>
        <w:t xml:space="preserve"> Health Professions </w:t>
      </w:r>
      <w:r w:rsidR="0036331E" w:rsidRPr="004C7173">
        <w:rPr>
          <w:rFonts w:asciiTheme="minorHAnsi" w:hAnsiTheme="minorHAnsi"/>
          <w:sz w:val="22"/>
        </w:rPr>
        <w:t>Programs</w:t>
      </w:r>
      <w:r w:rsidR="004C7173">
        <w:rPr>
          <w:rFonts w:asciiTheme="minorHAnsi" w:hAnsiTheme="minorHAnsi"/>
          <w:sz w:val="22"/>
        </w:rPr>
        <w:t xml:space="preserve">: </w:t>
      </w:r>
      <w:r w:rsidR="005B44FF" w:rsidRPr="004C7173">
        <w:rPr>
          <w:rFonts w:asciiTheme="minorHAnsi" w:hAnsiTheme="minorHAnsi"/>
          <w:sz w:val="22"/>
        </w:rPr>
        <w:t xml:space="preserve">FY </w:t>
      </w:r>
      <w:r w:rsidR="00675BAE" w:rsidRPr="004C7173">
        <w:rPr>
          <w:rFonts w:asciiTheme="minorHAnsi" w:hAnsiTheme="minorHAnsi"/>
          <w:sz w:val="22"/>
        </w:rPr>
        <w:t>201</w:t>
      </w:r>
      <w:r w:rsidR="00DB1380" w:rsidRPr="004C7173">
        <w:rPr>
          <w:rFonts w:asciiTheme="minorHAnsi" w:hAnsiTheme="minorHAnsi"/>
          <w:sz w:val="22"/>
        </w:rPr>
        <w:t>7</w:t>
      </w:r>
      <w:r w:rsidR="003B0E13" w:rsidRPr="004C7173">
        <w:rPr>
          <w:rFonts w:asciiTheme="minorHAnsi" w:hAnsiTheme="minorHAnsi"/>
          <w:sz w:val="22"/>
        </w:rPr>
        <w:t xml:space="preserve"> </w:t>
      </w:r>
      <w:r w:rsidRPr="004C7173">
        <w:rPr>
          <w:rFonts w:asciiTheme="minorHAnsi" w:hAnsiTheme="minorHAnsi"/>
          <w:sz w:val="22"/>
        </w:rPr>
        <w:t>Funding</w:t>
      </w:r>
      <w:r w:rsidR="004C7173">
        <w:rPr>
          <w:rFonts w:asciiTheme="minorHAnsi" w:hAnsiTheme="minorHAnsi"/>
          <w:sz w:val="22"/>
        </w:rPr>
        <w:t xml:space="preserve"> </w:t>
      </w:r>
      <w:r w:rsidR="004C7173" w:rsidRPr="004C7173">
        <w:rPr>
          <w:rFonts w:asciiTheme="minorHAnsi" w:hAnsiTheme="minorHAnsi"/>
          <w:b w:val="0"/>
          <w:sz w:val="20"/>
        </w:rPr>
        <w:t>($ in thousands)</w:t>
      </w:r>
      <w:r w:rsidR="004C7173" w:rsidRPr="004C7173">
        <w:rPr>
          <w:rFonts w:asciiTheme="minorHAnsi" w:hAnsiTheme="minorHAnsi"/>
          <w:color w:val="FF0000"/>
          <w:sz w:val="20"/>
        </w:rPr>
        <w:t> </w:t>
      </w:r>
    </w:p>
    <w:tbl>
      <w:tblPr>
        <w:tblW w:w="14040" w:type="dxa"/>
        <w:jc w:val="center"/>
        <w:tblLook w:val="04A0" w:firstRow="1" w:lastRow="0" w:firstColumn="1" w:lastColumn="0" w:noHBand="0" w:noVBand="1"/>
      </w:tblPr>
      <w:tblGrid>
        <w:gridCol w:w="4230"/>
        <w:gridCol w:w="1080"/>
        <w:gridCol w:w="1440"/>
        <w:gridCol w:w="990"/>
        <w:gridCol w:w="1080"/>
        <w:gridCol w:w="990"/>
        <w:gridCol w:w="1170"/>
        <w:gridCol w:w="990"/>
        <w:gridCol w:w="1096"/>
        <w:gridCol w:w="974"/>
      </w:tblGrid>
      <w:tr w:rsidR="004C7173" w:rsidRPr="004C7173" w:rsidTr="004C7173">
        <w:trPr>
          <w:trHeight w:val="576"/>
          <w:jc w:val="center"/>
        </w:trPr>
        <w:tc>
          <w:tcPr>
            <w:tcW w:w="4230"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4C7173" w:rsidRPr="004C7173" w:rsidRDefault="004C7173" w:rsidP="004C7173">
            <w:pPr>
              <w:rPr>
                <w:rFonts w:asciiTheme="minorHAnsi" w:hAnsiTheme="minorHAnsi"/>
                <w:b/>
                <w:bCs/>
                <w:color w:val="000000"/>
                <w:sz w:val="20"/>
              </w:rPr>
            </w:pPr>
            <w:r w:rsidRPr="004C7173">
              <w:rPr>
                <w:rFonts w:asciiTheme="minorHAnsi" w:hAnsiTheme="minorHAnsi"/>
                <w:b/>
                <w:bCs/>
                <w:color w:val="000000"/>
                <w:sz w:val="20"/>
              </w:rPr>
              <w:t> </w:t>
            </w:r>
          </w:p>
        </w:tc>
        <w:tc>
          <w:tcPr>
            <w:tcW w:w="108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FY 2016 Enacted</w:t>
            </w:r>
          </w:p>
        </w:tc>
        <w:tc>
          <w:tcPr>
            <w:tcW w:w="144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FY 2017 Pres. Budget</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Percent Change </w:t>
            </w:r>
            <w:r w:rsidRPr="004C7173">
              <w:rPr>
                <w:rFonts w:asciiTheme="minorHAnsi" w:hAnsiTheme="minorHAnsi"/>
                <w:color w:val="000000"/>
                <w:sz w:val="20"/>
              </w:rPr>
              <w:t>(v. FY 16)</w:t>
            </w:r>
          </w:p>
        </w:tc>
        <w:tc>
          <w:tcPr>
            <w:tcW w:w="1080" w:type="dxa"/>
            <w:tcBorders>
              <w:top w:val="single" w:sz="8" w:space="0" w:color="auto"/>
              <w:left w:val="nil"/>
              <w:bottom w:val="single" w:sz="8" w:space="0" w:color="auto"/>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FY 2017 Senate </w:t>
            </w:r>
            <w:proofErr w:type="spellStart"/>
            <w:r w:rsidRPr="004C7173">
              <w:rPr>
                <w:rFonts w:asciiTheme="minorHAnsi" w:hAnsiTheme="minorHAnsi"/>
                <w:b/>
                <w:bCs/>
                <w:color w:val="000000"/>
                <w:sz w:val="20"/>
              </w:rPr>
              <w:t>Cmte</w:t>
            </w:r>
            <w:proofErr w:type="spellEnd"/>
            <w:r w:rsidRPr="004C7173">
              <w:rPr>
                <w:rFonts w:asciiTheme="minorHAnsi" w:hAnsiTheme="minorHAnsi"/>
                <w:b/>
                <w:bCs/>
                <w:color w:val="000000"/>
                <w:sz w:val="20"/>
              </w:rPr>
              <w:t>.</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Percent Change </w:t>
            </w:r>
            <w:r w:rsidRPr="004C7173">
              <w:rPr>
                <w:rFonts w:asciiTheme="minorHAnsi" w:hAnsiTheme="minorHAnsi"/>
                <w:color w:val="000000"/>
                <w:sz w:val="20"/>
              </w:rPr>
              <w:t>(v. FY 16)</w:t>
            </w:r>
          </w:p>
        </w:tc>
        <w:tc>
          <w:tcPr>
            <w:tcW w:w="117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FY 2017 House </w:t>
            </w:r>
            <w:proofErr w:type="spellStart"/>
            <w:r w:rsidRPr="004C7173">
              <w:rPr>
                <w:rFonts w:asciiTheme="minorHAnsi" w:hAnsiTheme="minorHAnsi"/>
                <w:b/>
                <w:bCs/>
                <w:color w:val="000000"/>
                <w:sz w:val="20"/>
              </w:rPr>
              <w:t>Subcom</w:t>
            </w:r>
            <w:proofErr w:type="spellEnd"/>
            <w:r w:rsidRPr="004C7173">
              <w:rPr>
                <w:rFonts w:asciiTheme="minorHAnsi" w:hAnsiTheme="minorHAnsi"/>
                <w:b/>
                <w:bCs/>
                <w:color w:val="000000"/>
                <w:sz w:val="20"/>
              </w:rPr>
              <w:t>.</w:t>
            </w:r>
          </w:p>
        </w:tc>
        <w:tc>
          <w:tcPr>
            <w:tcW w:w="990"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Percent Change </w:t>
            </w:r>
            <w:r w:rsidRPr="004C7173">
              <w:rPr>
                <w:rFonts w:asciiTheme="minorHAnsi" w:hAnsiTheme="minorHAnsi"/>
                <w:color w:val="000000"/>
                <w:sz w:val="20"/>
              </w:rPr>
              <w:t>(v. FY 16)</w:t>
            </w:r>
          </w:p>
        </w:tc>
        <w:tc>
          <w:tcPr>
            <w:tcW w:w="1096"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FY 2017 </w:t>
            </w:r>
            <w:r w:rsidRPr="004C7173">
              <w:rPr>
                <w:rFonts w:asciiTheme="minorHAnsi" w:hAnsiTheme="minorHAnsi"/>
                <w:b/>
                <w:bCs/>
                <w:sz w:val="20"/>
              </w:rPr>
              <w:t>Proposed Final</w:t>
            </w:r>
          </w:p>
        </w:tc>
        <w:tc>
          <w:tcPr>
            <w:tcW w:w="974" w:type="dxa"/>
            <w:tcBorders>
              <w:top w:val="single" w:sz="8" w:space="0" w:color="auto"/>
              <w:left w:val="single" w:sz="8" w:space="0" w:color="auto"/>
              <w:bottom w:val="single" w:sz="8" w:space="0" w:color="000000"/>
              <w:right w:val="single" w:sz="8" w:space="0" w:color="auto"/>
            </w:tcBorders>
            <w:shd w:val="clear" w:color="000000" w:fill="FFFFFF"/>
            <w:vAlign w:val="center"/>
            <w:hideMark/>
          </w:tcPr>
          <w:p w:rsidR="004C7173" w:rsidRPr="004C7173" w:rsidRDefault="004C7173" w:rsidP="004C7173">
            <w:pPr>
              <w:jc w:val="center"/>
              <w:rPr>
                <w:rFonts w:asciiTheme="minorHAnsi" w:hAnsiTheme="minorHAnsi"/>
                <w:b/>
                <w:bCs/>
                <w:color w:val="000000"/>
                <w:sz w:val="20"/>
              </w:rPr>
            </w:pPr>
            <w:r w:rsidRPr="004C7173">
              <w:rPr>
                <w:rFonts w:asciiTheme="minorHAnsi" w:hAnsiTheme="minorHAnsi"/>
                <w:b/>
                <w:bCs/>
                <w:color w:val="000000"/>
                <w:sz w:val="20"/>
              </w:rPr>
              <w:t xml:space="preserve">Percent Change </w:t>
            </w:r>
            <w:r w:rsidRPr="004C7173">
              <w:rPr>
                <w:rFonts w:asciiTheme="minorHAnsi" w:hAnsiTheme="minorHAnsi"/>
                <w:color w:val="000000"/>
                <w:sz w:val="20"/>
              </w:rPr>
              <w:t>(v. FY 16)</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Centers of Excellence</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21,711</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21,711</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21,711</w:t>
            </w:r>
          </w:p>
        </w:tc>
        <w:tc>
          <w:tcPr>
            <w:tcW w:w="99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21,711</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21,711</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Health Careers Opportunity Program</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14,189</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14,189</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-100%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-100%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14,189</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Faculty Loan Repayment</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1,190</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1,190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1,190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1,190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1,190</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Scholarships for Disadvantaged Students</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45,970</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49,070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7%</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49,070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6.74%</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45,970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45,970</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Primary Care Medicine</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38,924</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38,924</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38,924</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38,924</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38,924</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Oral Health Training</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35,873</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35,873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35,873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35,873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36,673</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THC Planning Grants</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AHECs</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30,250</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-100%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30,250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30,250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30,250</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Allied Health/ Chiropractic Demo</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Mental and Behavioral Health</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9,916</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9,916</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9,916</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9,916</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9,916</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 xml:space="preserve">Behavioral Health Workforce Education and Training </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50,000</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56,000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12%</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50,000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50,000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50,000</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Geriatric</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38,737</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38,737</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38,737</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38,737</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38,737</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Workforce Info &amp; Analysis</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4,663</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4,663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4,663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4,663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4,663</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Public Health and Preventive Medicine</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21,000</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17,000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-19%</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17,000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-19%</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17,000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-19%</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17,000</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-19%</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auto" w:fill="auto"/>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Pediatric Loan Repayment</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D9D9D9"/>
            <w:vAlign w:val="center"/>
            <w:hideMark/>
          </w:tcPr>
          <w:p w:rsidR="004C7173" w:rsidRPr="004C7173" w:rsidRDefault="004C7173" w:rsidP="004C7173">
            <w:pPr>
              <w:rPr>
                <w:rFonts w:asciiTheme="minorHAnsi" w:hAnsiTheme="minorHAnsi"/>
                <w:b/>
                <w:bCs/>
                <w:color w:val="000000"/>
                <w:sz w:val="20"/>
              </w:rPr>
            </w:pPr>
            <w:r w:rsidRPr="004C7173">
              <w:rPr>
                <w:rFonts w:asciiTheme="minorHAnsi" w:hAnsiTheme="minorHAnsi"/>
                <w:b/>
                <w:bCs/>
                <w:color w:val="000000"/>
                <w:sz w:val="20"/>
              </w:rPr>
              <w:t>Total, Title VII Health Professions</w:t>
            </w:r>
          </w:p>
        </w:tc>
        <w:tc>
          <w:tcPr>
            <w:tcW w:w="108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312,423</w:t>
            </w:r>
          </w:p>
        </w:tc>
        <w:tc>
          <w:tcPr>
            <w:tcW w:w="144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287,273</w:t>
            </w:r>
          </w:p>
        </w:tc>
        <w:tc>
          <w:tcPr>
            <w:tcW w:w="99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-8.05%</w:t>
            </w:r>
          </w:p>
        </w:tc>
        <w:tc>
          <w:tcPr>
            <w:tcW w:w="108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297,334</w:t>
            </w:r>
          </w:p>
        </w:tc>
        <w:tc>
          <w:tcPr>
            <w:tcW w:w="99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-4.8%</w:t>
            </w:r>
          </w:p>
        </w:tc>
        <w:tc>
          <w:tcPr>
            <w:tcW w:w="117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294,234</w:t>
            </w:r>
          </w:p>
        </w:tc>
        <w:tc>
          <w:tcPr>
            <w:tcW w:w="99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-5.8%</w:t>
            </w:r>
          </w:p>
        </w:tc>
        <w:tc>
          <w:tcPr>
            <w:tcW w:w="1096"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309,223</w:t>
            </w:r>
          </w:p>
        </w:tc>
        <w:tc>
          <w:tcPr>
            <w:tcW w:w="974"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-1.0%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Advanced Education Nursing</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64,581</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64,581</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64,581</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64,581</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64,581</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Nurse education, practice and retention</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39,913</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39,913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39,913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39,913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39,913</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Workforce diversity</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15,343</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15,343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15,343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15,343</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15,343</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NURSE Corps (Loan Repayment &amp; Scholarship)</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83,135</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83,135</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83,135</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83,135</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83,135</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Comprehensive geriatric education</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FF"/>
            <w:vAlign w:val="center"/>
            <w:hideMark/>
          </w:tcPr>
          <w:p w:rsidR="004C7173" w:rsidRPr="004C7173" w:rsidRDefault="004C7173" w:rsidP="004C7173">
            <w:pPr>
              <w:rPr>
                <w:rFonts w:asciiTheme="minorHAnsi" w:hAnsiTheme="minorHAnsi"/>
                <w:color w:val="000000"/>
                <w:sz w:val="20"/>
              </w:rPr>
            </w:pPr>
            <w:r w:rsidRPr="004C7173">
              <w:rPr>
                <w:rFonts w:asciiTheme="minorHAnsi" w:hAnsiTheme="minorHAnsi"/>
                <w:color w:val="000000"/>
                <w:sz w:val="20"/>
              </w:rPr>
              <w:t>Nursing faculty loan program</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26,500</w:t>
            </w:r>
          </w:p>
        </w:tc>
        <w:tc>
          <w:tcPr>
            <w:tcW w:w="144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26,500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8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26,500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17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26,500</w:t>
            </w:r>
          </w:p>
        </w:tc>
        <w:tc>
          <w:tcPr>
            <w:tcW w:w="990"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c>
          <w:tcPr>
            <w:tcW w:w="1096"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26,500</w:t>
            </w:r>
          </w:p>
        </w:tc>
        <w:tc>
          <w:tcPr>
            <w:tcW w:w="974" w:type="dxa"/>
            <w:tcBorders>
              <w:top w:val="nil"/>
              <w:left w:val="nil"/>
              <w:bottom w:val="single" w:sz="8" w:space="0" w:color="auto"/>
              <w:right w:val="single" w:sz="8" w:space="0" w:color="auto"/>
            </w:tcBorders>
            <w:shd w:val="clear" w:color="000000" w:fill="FFFFFF"/>
            <w:vAlign w:val="center"/>
            <w:hideMark/>
          </w:tcPr>
          <w:p w:rsidR="004C7173" w:rsidRPr="004C7173" w:rsidRDefault="004C7173" w:rsidP="004C7173">
            <w:pPr>
              <w:jc w:val="right"/>
              <w:rPr>
                <w:rFonts w:asciiTheme="minorHAnsi" w:hAnsiTheme="minorHAnsi"/>
                <w:color w:val="000000"/>
                <w:sz w:val="20"/>
              </w:rPr>
            </w:pPr>
            <w:r w:rsidRPr="004C7173">
              <w:rPr>
                <w:rFonts w:asciiTheme="minorHAnsi" w:hAnsiTheme="minorHAnsi"/>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D9D9D9"/>
            <w:vAlign w:val="center"/>
            <w:hideMark/>
          </w:tcPr>
          <w:p w:rsidR="004C7173" w:rsidRPr="004C7173" w:rsidRDefault="004C7173" w:rsidP="004C7173">
            <w:pPr>
              <w:rPr>
                <w:rFonts w:asciiTheme="minorHAnsi" w:hAnsiTheme="minorHAnsi"/>
                <w:b/>
                <w:bCs/>
                <w:color w:val="000000"/>
                <w:sz w:val="20"/>
              </w:rPr>
            </w:pPr>
            <w:r w:rsidRPr="004C7173">
              <w:rPr>
                <w:rFonts w:asciiTheme="minorHAnsi" w:hAnsiTheme="minorHAnsi"/>
                <w:b/>
                <w:bCs/>
                <w:color w:val="000000"/>
                <w:sz w:val="20"/>
              </w:rPr>
              <w:t>Total, Title VIII Nursing</w:t>
            </w:r>
          </w:p>
        </w:tc>
        <w:tc>
          <w:tcPr>
            <w:tcW w:w="108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229,472</w:t>
            </w:r>
          </w:p>
        </w:tc>
        <w:tc>
          <w:tcPr>
            <w:tcW w:w="144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229,472</w:t>
            </w:r>
          </w:p>
        </w:tc>
        <w:tc>
          <w:tcPr>
            <w:tcW w:w="99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0%</w:t>
            </w:r>
          </w:p>
        </w:tc>
        <w:tc>
          <w:tcPr>
            <w:tcW w:w="108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229,472</w:t>
            </w:r>
          </w:p>
        </w:tc>
        <w:tc>
          <w:tcPr>
            <w:tcW w:w="99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0%</w:t>
            </w:r>
          </w:p>
        </w:tc>
        <w:tc>
          <w:tcPr>
            <w:tcW w:w="117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229,472</w:t>
            </w:r>
          </w:p>
        </w:tc>
        <w:tc>
          <w:tcPr>
            <w:tcW w:w="990"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0%</w:t>
            </w:r>
          </w:p>
        </w:tc>
        <w:tc>
          <w:tcPr>
            <w:tcW w:w="1096"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229,472</w:t>
            </w:r>
          </w:p>
        </w:tc>
        <w:tc>
          <w:tcPr>
            <w:tcW w:w="974" w:type="dxa"/>
            <w:tcBorders>
              <w:top w:val="nil"/>
              <w:left w:val="nil"/>
              <w:bottom w:val="single" w:sz="8" w:space="0" w:color="auto"/>
              <w:right w:val="single" w:sz="8" w:space="0" w:color="auto"/>
            </w:tcBorders>
            <w:shd w:val="clear" w:color="000000" w:fill="D9D9D9"/>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0%</w:t>
            </w:r>
          </w:p>
        </w:tc>
      </w:tr>
      <w:tr w:rsidR="004C7173" w:rsidRPr="004C7173" w:rsidTr="004C7173">
        <w:trPr>
          <w:trHeight w:val="216"/>
          <w:jc w:val="center"/>
        </w:trPr>
        <w:tc>
          <w:tcPr>
            <w:tcW w:w="4230" w:type="dxa"/>
            <w:tcBorders>
              <w:top w:val="nil"/>
              <w:left w:val="single" w:sz="8" w:space="0" w:color="auto"/>
              <w:bottom w:val="single" w:sz="8" w:space="0" w:color="auto"/>
              <w:right w:val="single" w:sz="8" w:space="0" w:color="auto"/>
            </w:tcBorders>
            <w:shd w:val="clear" w:color="000000" w:fill="FFFF00"/>
            <w:vAlign w:val="center"/>
            <w:hideMark/>
          </w:tcPr>
          <w:p w:rsidR="004C7173" w:rsidRPr="004C7173" w:rsidRDefault="004C7173" w:rsidP="004C7173">
            <w:pPr>
              <w:rPr>
                <w:rFonts w:asciiTheme="minorHAnsi" w:hAnsiTheme="minorHAnsi"/>
                <w:b/>
                <w:bCs/>
                <w:color w:val="000000"/>
                <w:sz w:val="20"/>
              </w:rPr>
            </w:pPr>
            <w:r w:rsidRPr="004C7173">
              <w:rPr>
                <w:rFonts w:asciiTheme="minorHAnsi" w:hAnsiTheme="minorHAnsi"/>
                <w:b/>
                <w:bCs/>
                <w:color w:val="000000"/>
                <w:sz w:val="20"/>
              </w:rPr>
              <w:t xml:space="preserve">Total Title VII &amp; VIII </w:t>
            </w:r>
          </w:p>
        </w:tc>
        <w:tc>
          <w:tcPr>
            <w:tcW w:w="108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541,895</w:t>
            </w:r>
          </w:p>
        </w:tc>
        <w:tc>
          <w:tcPr>
            <w:tcW w:w="144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516,745</w:t>
            </w:r>
          </w:p>
        </w:tc>
        <w:tc>
          <w:tcPr>
            <w:tcW w:w="99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-4.64%</w:t>
            </w:r>
          </w:p>
        </w:tc>
        <w:tc>
          <w:tcPr>
            <w:tcW w:w="108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526,806</w:t>
            </w:r>
          </w:p>
        </w:tc>
        <w:tc>
          <w:tcPr>
            <w:tcW w:w="99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-2.8%</w:t>
            </w:r>
          </w:p>
        </w:tc>
        <w:tc>
          <w:tcPr>
            <w:tcW w:w="117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523,706</w:t>
            </w:r>
          </w:p>
        </w:tc>
        <w:tc>
          <w:tcPr>
            <w:tcW w:w="990"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-3.4%</w:t>
            </w:r>
          </w:p>
        </w:tc>
        <w:tc>
          <w:tcPr>
            <w:tcW w:w="1096"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538,695</w:t>
            </w:r>
          </w:p>
        </w:tc>
        <w:tc>
          <w:tcPr>
            <w:tcW w:w="974" w:type="dxa"/>
            <w:tcBorders>
              <w:top w:val="nil"/>
              <w:left w:val="nil"/>
              <w:bottom w:val="single" w:sz="8" w:space="0" w:color="auto"/>
              <w:right w:val="single" w:sz="8" w:space="0" w:color="auto"/>
            </w:tcBorders>
            <w:shd w:val="clear" w:color="000000" w:fill="FFFF00"/>
            <w:vAlign w:val="center"/>
            <w:hideMark/>
          </w:tcPr>
          <w:p w:rsidR="004C7173" w:rsidRPr="004C7173" w:rsidRDefault="004C7173" w:rsidP="004C7173">
            <w:pPr>
              <w:jc w:val="right"/>
              <w:rPr>
                <w:rFonts w:asciiTheme="minorHAnsi" w:hAnsiTheme="minorHAnsi"/>
                <w:b/>
                <w:bCs/>
                <w:color w:val="000000"/>
                <w:sz w:val="20"/>
              </w:rPr>
            </w:pPr>
            <w:r w:rsidRPr="004C7173">
              <w:rPr>
                <w:rFonts w:asciiTheme="minorHAnsi" w:hAnsiTheme="minorHAnsi"/>
                <w:b/>
                <w:bCs/>
                <w:color w:val="000000"/>
                <w:sz w:val="20"/>
              </w:rPr>
              <w:t>-0.6%</w:t>
            </w:r>
          </w:p>
        </w:tc>
      </w:tr>
    </w:tbl>
    <w:p w:rsidR="009F00EE" w:rsidRDefault="009F00EE" w:rsidP="00D52739">
      <w:pPr>
        <w:rPr>
          <w:rFonts w:asciiTheme="minorHAnsi" w:hAnsiTheme="minorHAnsi"/>
          <w:b/>
          <w:sz w:val="20"/>
        </w:rPr>
      </w:pPr>
    </w:p>
    <w:p w:rsidR="00D11900" w:rsidRPr="004C7173" w:rsidRDefault="003D7961" w:rsidP="00D52739">
      <w:pPr>
        <w:rPr>
          <w:rFonts w:asciiTheme="minorHAnsi" w:hAnsiTheme="minorHAnsi"/>
          <w:sz w:val="20"/>
        </w:rPr>
      </w:pPr>
      <w:r w:rsidRPr="004C7173">
        <w:rPr>
          <w:rFonts w:asciiTheme="minorHAnsi" w:hAnsiTheme="minorHAnsi"/>
          <w:b/>
          <w:sz w:val="20"/>
        </w:rPr>
        <w:t>Contact</w:t>
      </w:r>
      <w:r w:rsidRPr="004C7173">
        <w:rPr>
          <w:rFonts w:asciiTheme="minorHAnsi" w:hAnsiTheme="minorHAnsi"/>
          <w:sz w:val="20"/>
        </w:rPr>
        <w:t>:</w:t>
      </w:r>
      <w:r w:rsidR="00D35DB4" w:rsidRPr="004C7173">
        <w:rPr>
          <w:rFonts w:asciiTheme="minorHAnsi" w:hAnsiTheme="minorHAnsi"/>
          <w:sz w:val="20"/>
        </w:rPr>
        <w:t xml:space="preserve"> </w:t>
      </w:r>
      <w:r w:rsidR="00D52739">
        <w:rPr>
          <w:rFonts w:asciiTheme="minorHAnsi" w:hAnsiTheme="minorHAnsi"/>
          <w:sz w:val="20"/>
        </w:rPr>
        <w:t xml:space="preserve">Matthew Shick, </w:t>
      </w:r>
      <w:hyperlink r:id="rId9" w:history="1">
        <w:r w:rsidR="00D52739" w:rsidRPr="005A32CE">
          <w:rPr>
            <w:rStyle w:val="Hyperlink"/>
            <w:rFonts w:asciiTheme="minorHAnsi" w:hAnsiTheme="minorHAnsi"/>
            <w:sz w:val="20"/>
          </w:rPr>
          <w:t>mshick@aamc.org</w:t>
        </w:r>
      </w:hyperlink>
      <w:r w:rsidR="00D52739">
        <w:rPr>
          <w:rFonts w:asciiTheme="minorHAnsi" w:hAnsiTheme="minorHAnsi"/>
          <w:sz w:val="20"/>
        </w:rPr>
        <w:t xml:space="preserve"> </w:t>
      </w:r>
      <w:r w:rsidR="00EF2DEB" w:rsidRPr="004C7173">
        <w:rPr>
          <w:rFonts w:asciiTheme="minorHAnsi" w:hAnsiTheme="minorHAnsi"/>
          <w:sz w:val="20"/>
        </w:rPr>
        <w:t xml:space="preserve">or </w:t>
      </w:r>
      <w:r w:rsidR="00D52739">
        <w:rPr>
          <w:rFonts w:asciiTheme="minorHAnsi" w:hAnsiTheme="minorHAnsi"/>
          <w:sz w:val="20"/>
        </w:rPr>
        <w:t>202-862-6116</w:t>
      </w:r>
      <w:r w:rsidR="00297CE8" w:rsidRPr="004C7173">
        <w:rPr>
          <w:rFonts w:asciiTheme="minorHAnsi" w:hAnsiTheme="minorHAnsi"/>
          <w:sz w:val="20"/>
        </w:rPr>
        <w:t xml:space="preserve">, </w:t>
      </w:r>
      <w:r w:rsidR="00B77383" w:rsidRPr="004C7173">
        <w:rPr>
          <w:rFonts w:asciiTheme="minorHAnsi" w:hAnsiTheme="minorHAnsi"/>
          <w:sz w:val="20"/>
        </w:rPr>
        <w:t>Associat</w:t>
      </w:r>
      <w:r w:rsidR="00D35DB4" w:rsidRPr="004C7173">
        <w:rPr>
          <w:rFonts w:asciiTheme="minorHAnsi" w:hAnsiTheme="minorHAnsi"/>
          <w:sz w:val="20"/>
        </w:rPr>
        <w:t>ion of American Medical College</w:t>
      </w:r>
      <w:r w:rsidR="006023A2" w:rsidRPr="004C7173">
        <w:rPr>
          <w:rFonts w:asciiTheme="minorHAnsi" w:hAnsiTheme="minorHAnsi"/>
          <w:sz w:val="20"/>
        </w:rPr>
        <w:t xml:space="preserve">s </w:t>
      </w:r>
    </w:p>
    <w:p w:rsidR="00244A03" w:rsidRPr="004C7173" w:rsidRDefault="00244A03" w:rsidP="0027457E">
      <w:pPr>
        <w:rPr>
          <w:rFonts w:asciiTheme="minorHAnsi" w:hAnsiTheme="minorHAnsi"/>
          <w:sz w:val="20"/>
        </w:rPr>
      </w:pPr>
    </w:p>
    <w:p w:rsidR="007E5806" w:rsidRPr="004C7173" w:rsidRDefault="006023A2" w:rsidP="006023A2">
      <w:pPr>
        <w:ind w:left="90" w:hanging="90"/>
        <w:rPr>
          <w:rFonts w:asciiTheme="minorHAnsi" w:hAnsiTheme="minorHAnsi"/>
          <w:sz w:val="20"/>
        </w:rPr>
      </w:pPr>
      <w:r w:rsidRPr="004C7173">
        <w:rPr>
          <w:rFonts w:asciiTheme="minorHAnsi" w:hAnsiTheme="minorHAnsi"/>
          <w:sz w:val="20"/>
          <w:vertAlign w:val="superscript"/>
        </w:rPr>
        <w:t>1</w:t>
      </w:r>
      <w:r w:rsidR="00BE25BC" w:rsidRPr="004C7173">
        <w:rPr>
          <w:rFonts w:asciiTheme="minorHAnsi" w:hAnsiTheme="minorHAnsi"/>
          <w:sz w:val="20"/>
        </w:rPr>
        <w:t xml:space="preserve">The </w:t>
      </w:r>
      <w:r w:rsidR="007E5806" w:rsidRPr="004C7173">
        <w:rPr>
          <w:rFonts w:asciiTheme="minorHAnsi" w:hAnsiTheme="minorHAnsi"/>
          <w:sz w:val="20"/>
        </w:rPr>
        <w:t xml:space="preserve">FY 2016 </w:t>
      </w:r>
      <w:r w:rsidR="00B661C4" w:rsidRPr="004C7173">
        <w:rPr>
          <w:rFonts w:asciiTheme="minorHAnsi" w:hAnsiTheme="minorHAnsi"/>
          <w:sz w:val="20"/>
        </w:rPr>
        <w:t xml:space="preserve">Omnibus </w:t>
      </w:r>
      <w:r w:rsidR="00770FA2" w:rsidRPr="004C7173">
        <w:rPr>
          <w:rFonts w:asciiTheme="minorHAnsi" w:hAnsiTheme="minorHAnsi"/>
          <w:sz w:val="20"/>
        </w:rPr>
        <w:t xml:space="preserve">and President’s FY 2017 budget request </w:t>
      </w:r>
      <w:r w:rsidR="007E5806" w:rsidRPr="004C7173">
        <w:rPr>
          <w:rFonts w:asciiTheme="minorHAnsi" w:hAnsiTheme="minorHAnsi"/>
          <w:sz w:val="20"/>
        </w:rPr>
        <w:t>consolidates the Title VIII Comprehensive Geriatric Education program with the Title VII Geriatric Program, citing HRSA’s combined competition for the prog</w:t>
      </w:r>
      <w:r w:rsidR="00B661C4" w:rsidRPr="004C7173">
        <w:rPr>
          <w:rFonts w:asciiTheme="minorHAnsi" w:hAnsiTheme="minorHAnsi"/>
          <w:sz w:val="20"/>
        </w:rPr>
        <w:t>rams in FY 2015</w:t>
      </w:r>
      <w:r w:rsidRPr="004C7173">
        <w:rPr>
          <w:rFonts w:asciiTheme="minorHAnsi" w:hAnsiTheme="minorHAnsi"/>
          <w:sz w:val="20"/>
        </w:rPr>
        <w:t xml:space="preserve">. </w:t>
      </w:r>
      <w:r w:rsidR="00770FA2" w:rsidRPr="004C7173">
        <w:rPr>
          <w:rFonts w:asciiTheme="minorHAnsi" w:hAnsiTheme="minorHAnsi"/>
          <w:sz w:val="20"/>
        </w:rPr>
        <w:t xml:space="preserve">The FY 2017 Senate Labor-HHS bill </w:t>
      </w:r>
      <w:r w:rsidRPr="004C7173">
        <w:rPr>
          <w:rFonts w:asciiTheme="minorHAnsi" w:hAnsiTheme="minorHAnsi"/>
          <w:sz w:val="20"/>
        </w:rPr>
        <w:t xml:space="preserve">continues this approach. </w:t>
      </w:r>
      <w:r w:rsidR="00B661C4" w:rsidRPr="004C7173">
        <w:rPr>
          <w:rFonts w:asciiTheme="minorHAnsi" w:hAnsiTheme="minorHAnsi"/>
          <w:sz w:val="20"/>
        </w:rPr>
        <w:t xml:space="preserve"> </w:t>
      </w:r>
    </w:p>
    <w:p w:rsidR="00322F82" w:rsidRPr="004C7173" w:rsidRDefault="006023A2" w:rsidP="00575DE8">
      <w:pPr>
        <w:ind w:left="90" w:hanging="90"/>
        <w:rPr>
          <w:rFonts w:asciiTheme="minorHAnsi" w:hAnsiTheme="minorHAnsi"/>
          <w:sz w:val="20"/>
        </w:rPr>
      </w:pPr>
      <w:r w:rsidRPr="004C7173">
        <w:rPr>
          <w:rFonts w:asciiTheme="minorHAnsi" w:hAnsiTheme="minorHAnsi"/>
          <w:sz w:val="20"/>
          <w:vertAlign w:val="superscript"/>
        </w:rPr>
        <w:t>2</w:t>
      </w:r>
      <w:r w:rsidR="00322F82" w:rsidRPr="004C7173">
        <w:rPr>
          <w:rFonts w:asciiTheme="minorHAnsi" w:hAnsiTheme="minorHAnsi"/>
          <w:sz w:val="20"/>
          <w:vertAlign w:val="superscript"/>
        </w:rPr>
        <w:t xml:space="preserve"> </w:t>
      </w:r>
      <w:r w:rsidR="00322F82" w:rsidRPr="004C7173">
        <w:rPr>
          <w:rFonts w:asciiTheme="minorHAnsi" w:hAnsiTheme="minorHAnsi"/>
          <w:sz w:val="20"/>
        </w:rPr>
        <w:t xml:space="preserve">The FY 2016 Omnibus </w:t>
      </w:r>
      <w:r w:rsidR="00770FA2" w:rsidRPr="004C7173">
        <w:rPr>
          <w:rFonts w:asciiTheme="minorHAnsi" w:hAnsiTheme="minorHAnsi"/>
          <w:sz w:val="20"/>
        </w:rPr>
        <w:t xml:space="preserve">and FY 2017 Senate Labor-HHS </w:t>
      </w:r>
      <w:r w:rsidR="00B012BC" w:rsidRPr="004C7173">
        <w:rPr>
          <w:rFonts w:asciiTheme="minorHAnsi" w:hAnsiTheme="minorHAnsi"/>
          <w:sz w:val="20"/>
        </w:rPr>
        <w:t>requires at least $</w:t>
      </w:r>
      <w:r w:rsidR="00B661C4" w:rsidRPr="004C7173">
        <w:rPr>
          <w:rFonts w:asciiTheme="minorHAnsi" w:hAnsiTheme="minorHAnsi"/>
          <w:sz w:val="20"/>
        </w:rPr>
        <w:t>10 million</w:t>
      </w:r>
      <w:r w:rsidR="00B012BC" w:rsidRPr="004C7173">
        <w:rPr>
          <w:rFonts w:asciiTheme="minorHAnsi" w:hAnsiTheme="minorHAnsi"/>
          <w:sz w:val="20"/>
        </w:rPr>
        <w:t xml:space="preserve"> for General Dentistry programs</w:t>
      </w:r>
      <w:r w:rsidR="00D35DB4" w:rsidRPr="004C7173">
        <w:rPr>
          <w:rFonts w:asciiTheme="minorHAnsi" w:hAnsiTheme="minorHAnsi"/>
          <w:sz w:val="20"/>
        </w:rPr>
        <w:t xml:space="preserve">, </w:t>
      </w:r>
      <w:r w:rsidR="00B012BC" w:rsidRPr="004C7173">
        <w:rPr>
          <w:rFonts w:asciiTheme="minorHAnsi" w:hAnsiTheme="minorHAnsi"/>
          <w:sz w:val="20"/>
        </w:rPr>
        <w:t>at least $10</w:t>
      </w:r>
      <w:r w:rsidR="00B661C4" w:rsidRPr="004C7173">
        <w:rPr>
          <w:rFonts w:asciiTheme="minorHAnsi" w:hAnsiTheme="minorHAnsi"/>
          <w:sz w:val="20"/>
        </w:rPr>
        <w:t xml:space="preserve"> million</w:t>
      </w:r>
      <w:r w:rsidR="00D35DB4" w:rsidRPr="004C7173">
        <w:rPr>
          <w:rFonts w:asciiTheme="minorHAnsi" w:hAnsiTheme="minorHAnsi"/>
          <w:sz w:val="20"/>
        </w:rPr>
        <w:t xml:space="preserve"> for</w:t>
      </w:r>
      <w:r w:rsidR="00B661C4" w:rsidRPr="004C7173">
        <w:rPr>
          <w:rFonts w:asciiTheme="minorHAnsi" w:hAnsiTheme="minorHAnsi"/>
          <w:sz w:val="20"/>
        </w:rPr>
        <w:t xml:space="preserve"> </w:t>
      </w:r>
      <w:r w:rsidR="00B012BC" w:rsidRPr="004C7173">
        <w:rPr>
          <w:rFonts w:asciiTheme="minorHAnsi" w:hAnsiTheme="minorHAnsi"/>
          <w:sz w:val="20"/>
        </w:rPr>
        <w:t>Pediatric Dentistry programs</w:t>
      </w:r>
      <w:r w:rsidR="00D35DB4" w:rsidRPr="004C7173">
        <w:rPr>
          <w:rFonts w:asciiTheme="minorHAnsi" w:hAnsiTheme="minorHAnsi"/>
          <w:sz w:val="20"/>
        </w:rPr>
        <w:t>, and</w:t>
      </w:r>
      <w:r w:rsidR="00B012BC" w:rsidRPr="004C7173">
        <w:rPr>
          <w:rFonts w:asciiTheme="minorHAnsi" w:hAnsiTheme="minorHAnsi"/>
          <w:sz w:val="20"/>
        </w:rPr>
        <w:t xml:space="preserve"> </w:t>
      </w:r>
      <w:r w:rsidR="00B12C3E" w:rsidRPr="004C7173">
        <w:rPr>
          <w:rFonts w:asciiTheme="minorHAnsi" w:hAnsiTheme="minorHAnsi"/>
          <w:sz w:val="20"/>
        </w:rPr>
        <w:t>continuation of funding for Sec. 748 Dental Faculty Loan Program grants initially awarded</w:t>
      </w:r>
      <w:r w:rsidR="00E86590" w:rsidRPr="004C7173">
        <w:rPr>
          <w:rFonts w:asciiTheme="minorHAnsi" w:hAnsiTheme="minorHAnsi"/>
          <w:sz w:val="20"/>
        </w:rPr>
        <w:t xml:space="preserve"> in FY 2016. </w:t>
      </w:r>
      <w:r w:rsidR="00B12C3E" w:rsidRPr="004C7173">
        <w:rPr>
          <w:rFonts w:asciiTheme="minorHAnsi" w:hAnsiTheme="minorHAnsi"/>
          <w:sz w:val="20"/>
        </w:rPr>
        <w:t xml:space="preserve">  </w:t>
      </w:r>
    </w:p>
    <w:p w:rsidR="00B02405" w:rsidRPr="004C7173" w:rsidRDefault="00B02405" w:rsidP="00575DE8">
      <w:pPr>
        <w:ind w:left="90" w:hanging="90"/>
        <w:rPr>
          <w:rFonts w:asciiTheme="minorHAnsi" w:hAnsiTheme="minorHAnsi"/>
          <w:sz w:val="20"/>
        </w:rPr>
      </w:pPr>
      <w:r w:rsidRPr="004C7173">
        <w:rPr>
          <w:rFonts w:asciiTheme="minorHAnsi" w:hAnsiTheme="minorHAnsi"/>
          <w:sz w:val="20"/>
          <w:vertAlign w:val="superscript"/>
        </w:rPr>
        <w:t xml:space="preserve">3 </w:t>
      </w:r>
      <w:r w:rsidRPr="004C7173">
        <w:rPr>
          <w:rFonts w:asciiTheme="minorHAnsi" w:hAnsiTheme="minorHAnsi"/>
          <w:sz w:val="20"/>
        </w:rPr>
        <w:t xml:space="preserve">The FY 2017 Senate </w:t>
      </w:r>
      <w:r w:rsidR="003706F0" w:rsidRPr="004C7173">
        <w:rPr>
          <w:rFonts w:asciiTheme="minorHAnsi" w:hAnsiTheme="minorHAnsi"/>
          <w:sz w:val="20"/>
        </w:rPr>
        <w:t xml:space="preserve">and House </w:t>
      </w:r>
      <w:r w:rsidRPr="004C7173">
        <w:rPr>
          <w:rFonts w:asciiTheme="minorHAnsi" w:hAnsiTheme="minorHAnsi"/>
          <w:sz w:val="20"/>
        </w:rPr>
        <w:t>Labor-HHS bill transfers the Behavioral Health Workforce Education and Training Program from SAMHSA to HRSA as requested in the Administration’</w:t>
      </w:r>
      <w:r w:rsidR="00770FA2" w:rsidRPr="004C7173">
        <w:rPr>
          <w:rFonts w:asciiTheme="minorHAnsi" w:hAnsiTheme="minorHAnsi"/>
          <w:sz w:val="20"/>
        </w:rPr>
        <w:t xml:space="preserve">s FY 2017 budget request. The President’s FY 2017 budget </w:t>
      </w:r>
      <w:r w:rsidR="009E2B3D" w:rsidRPr="004C7173">
        <w:rPr>
          <w:rFonts w:asciiTheme="minorHAnsi" w:hAnsiTheme="minorHAnsi"/>
          <w:sz w:val="20"/>
        </w:rPr>
        <w:t xml:space="preserve">requested $56 million for the BHWET program. </w:t>
      </w:r>
    </w:p>
    <w:p w:rsidR="002113FB" w:rsidRPr="004C7173" w:rsidRDefault="002113FB" w:rsidP="00575DE8">
      <w:pPr>
        <w:ind w:left="90" w:hanging="90"/>
        <w:rPr>
          <w:rFonts w:asciiTheme="minorHAnsi" w:hAnsiTheme="minorHAnsi"/>
          <w:sz w:val="20"/>
        </w:rPr>
      </w:pPr>
      <w:r w:rsidRPr="004C7173">
        <w:rPr>
          <w:rFonts w:asciiTheme="minorHAnsi" w:hAnsiTheme="minorHAnsi"/>
          <w:sz w:val="20"/>
          <w:vertAlign w:val="superscript"/>
        </w:rPr>
        <w:t xml:space="preserve">4 </w:t>
      </w:r>
      <w:r w:rsidRPr="004C7173">
        <w:rPr>
          <w:rFonts w:asciiTheme="minorHAnsi" w:hAnsiTheme="minorHAnsi"/>
          <w:sz w:val="20"/>
        </w:rPr>
        <w:t xml:space="preserve">The FY 2017 Administration’s budget requests that the public health and prevention medicine funding go to the Public Health Training Centers program and the Preventive Medicine Residency with Integrative Health Care Training program, and not to the Integrative Medicine Program. </w:t>
      </w:r>
    </w:p>
    <w:p w:rsidR="002113FB" w:rsidRPr="004C7173" w:rsidRDefault="002113FB" w:rsidP="002113FB">
      <w:pPr>
        <w:ind w:left="90" w:hanging="90"/>
        <w:rPr>
          <w:rFonts w:asciiTheme="minorHAnsi" w:hAnsiTheme="minorHAnsi"/>
          <w:sz w:val="20"/>
        </w:rPr>
      </w:pPr>
      <w:r w:rsidRPr="004C7173">
        <w:rPr>
          <w:rFonts w:asciiTheme="minorHAnsi" w:hAnsiTheme="minorHAnsi"/>
          <w:sz w:val="20"/>
          <w:vertAlign w:val="superscript"/>
        </w:rPr>
        <w:t xml:space="preserve">5 </w:t>
      </w:r>
      <w:r w:rsidRPr="004C7173">
        <w:rPr>
          <w:rFonts w:asciiTheme="minorHAnsi" w:hAnsiTheme="minorHAnsi"/>
          <w:sz w:val="20"/>
        </w:rPr>
        <w:t xml:space="preserve">The FY 2017 Senate Labor-HHS bill follows the Administration’s FY 2017 request that the public health and prevention medicine funding go to the Public Health Training Centers program and the Preventive Medicine Residency with Integrative Health Care Training program, and not to the Integrative Medicine Program. </w:t>
      </w:r>
    </w:p>
    <w:sectPr w:rsidR="002113FB" w:rsidRPr="004C7173" w:rsidSect="00D52739">
      <w:pgSz w:w="15840" w:h="12240" w:orient="landscape" w:code="1"/>
      <w:pgMar w:top="576" w:right="720" w:bottom="576"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51" w:rsidRDefault="00FA4851">
      <w:r>
        <w:separator/>
      </w:r>
    </w:p>
  </w:endnote>
  <w:endnote w:type="continuationSeparator" w:id="0">
    <w:p w:rsidR="00FA4851" w:rsidRDefault="00FA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51" w:rsidRDefault="00FA4851">
      <w:r>
        <w:separator/>
      </w:r>
    </w:p>
  </w:footnote>
  <w:footnote w:type="continuationSeparator" w:id="0">
    <w:p w:rsidR="00FA4851" w:rsidRDefault="00FA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E1C60"/>
    <w:multiLevelType w:val="hybridMultilevel"/>
    <w:tmpl w:val="F580F370"/>
    <w:lvl w:ilvl="0" w:tplc="04090001">
      <w:start w:val="3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A46B3"/>
    <w:multiLevelType w:val="hybridMultilevel"/>
    <w:tmpl w:val="FC04C27C"/>
    <w:lvl w:ilvl="0" w:tplc="04090001">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22"/>
    <w:rsid w:val="000111BE"/>
    <w:rsid w:val="000128A7"/>
    <w:rsid w:val="00016344"/>
    <w:rsid w:val="000178DB"/>
    <w:rsid w:val="00022FA2"/>
    <w:rsid w:val="0002370B"/>
    <w:rsid w:val="00027695"/>
    <w:rsid w:val="00033F52"/>
    <w:rsid w:val="00034993"/>
    <w:rsid w:val="00035D4A"/>
    <w:rsid w:val="00037A8A"/>
    <w:rsid w:val="00042538"/>
    <w:rsid w:val="00042967"/>
    <w:rsid w:val="00044348"/>
    <w:rsid w:val="000451FB"/>
    <w:rsid w:val="00053067"/>
    <w:rsid w:val="000537C5"/>
    <w:rsid w:val="00056ED4"/>
    <w:rsid w:val="000617A0"/>
    <w:rsid w:val="00063996"/>
    <w:rsid w:val="00063D46"/>
    <w:rsid w:val="00065C6B"/>
    <w:rsid w:val="000715E2"/>
    <w:rsid w:val="000739B6"/>
    <w:rsid w:val="00073FEE"/>
    <w:rsid w:val="00081362"/>
    <w:rsid w:val="00083527"/>
    <w:rsid w:val="00085AA0"/>
    <w:rsid w:val="00086F7C"/>
    <w:rsid w:val="000971EE"/>
    <w:rsid w:val="000A2E6B"/>
    <w:rsid w:val="000A61A2"/>
    <w:rsid w:val="000A70DB"/>
    <w:rsid w:val="000B7CAA"/>
    <w:rsid w:val="000C5293"/>
    <w:rsid w:val="000D01BA"/>
    <w:rsid w:val="000D1DC1"/>
    <w:rsid w:val="000D1E20"/>
    <w:rsid w:val="000D2E2A"/>
    <w:rsid w:val="000D6FA7"/>
    <w:rsid w:val="000D701C"/>
    <w:rsid w:val="000E106D"/>
    <w:rsid w:val="000E71D7"/>
    <w:rsid w:val="000F265A"/>
    <w:rsid w:val="000F61B7"/>
    <w:rsid w:val="000F6ACD"/>
    <w:rsid w:val="0010597E"/>
    <w:rsid w:val="00107B43"/>
    <w:rsid w:val="00114C77"/>
    <w:rsid w:val="0011764B"/>
    <w:rsid w:val="00124886"/>
    <w:rsid w:val="00127B60"/>
    <w:rsid w:val="00130EE3"/>
    <w:rsid w:val="001324D1"/>
    <w:rsid w:val="001370CB"/>
    <w:rsid w:val="001453E2"/>
    <w:rsid w:val="00147ACD"/>
    <w:rsid w:val="001522B9"/>
    <w:rsid w:val="00152429"/>
    <w:rsid w:val="00152586"/>
    <w:rsid w:val="00153B05"/>
    <w:rsid w:val="00153E9D"/>
    <w:rsid w:val="00161B21"/>
    <w:rsid w:val="001622F8"/>
    <w:rsid w:val="001623FC"/>
    <w:rsid w:val="00164176"/>
    <w:rsid w:val="00173195"/>
    <w:rsid w:val="00173D69"/>
    <w:rsid w:val="00182B1D"/>
    <w:rsid w:val="00183737"/>
    <w:rsid w:val="00183FF1"/>
    <w:rsid w:val="00185D22"/>
    <w:rsid w:val="00187E2F"/>
    <w:rsid w:val="00197D2B"/>
    <w:rsid w:val="001A0C45"/>
    <w:rsid w:val="001A1426"/>
    <w:rsid w:val="001A28B7"/>
    <w:rsid w:val="001A3FAE"/>
    <w:rsid w:val="001A5865"/>
    <w:rsid w:val="001A7802"/>
    <w:rsid w:val="001B389E"/>
    <w:rsid w:val="001B40AC"/>
    <w:rsid w:val="001B4DC7"/>
    <w:rsid w:val="001C095D"/>
    <w:rsid w:val="001C3AD2"/>
    <w:rsid w:val="001C43CC"/>
    <w:rsid w:val="001D0538"/>
    <w:rsid w:val="001D6A69"/>
    <w:rsid w:val="001E3B26"/>
    <w:rsid w:val="001E4D4C"/>
    <w:rsid w:val="001E5D80"/>
    <w:rsid w:val="001E772E"/>
    <w:rsid w:val="001F0260"/>
    <w:rsid w:val="001F0A41"/>
    <w:rsid w:val="00204CD0"/>
    <w:rsid w:val="0020511F"/>
    <w:rsid w:val="00210C65"/>
    <w:rsid w:val="002113FB"/>
    <w:rsid w:val="002115F6"/>
    <w:rsid w:val="002133A6"/>
    <w:rsid w:val="002135BC"/>
    <w:rsid w:val="00214870"/>
    <w:rsid w:val="00215680"/>
    <w:rsid w:val="00220D8E"/>
    <w:rsid w:val="002270CA"/>
    <w:rsid w:val="00230847"/>
    <w:rsid w:val="0023207E"/>
    <w:rsid w:val="00233C51"/>
    <w:rsid w:val="00234470"/>
    <w:rsid w:val="00244A03"/>
    <w:rsid w:val="00251FD3"/>
    <w:rsid w:val="0025343E"/>
    <w:rsid w:val="00253634"/>
    <w:rsid w:val="002541E9"/>
    <w:rsid w:val="002562E2"/>
    <w:rsid w:val="00260CDD"/>
    <w:rsid w:val="00266AB3"/>
    <w:rsid w:val="00270BD9"/>
    <w:rsid w:val="0027457E"/>
    <w:rsid w:val="00281874"/>
    <w:rsid w:val="00281D7A"/>
    <w:rsid w:val="00283EA8"/>
    <w:rsid w:val="0028641A"/>
    <w:rsid w:val="00286D0D"/>
    <w:rsid w:val="00287A2F"/>
    <w:rsid w:val="00297CE8"/>
    <w:rsid w:val="002A0FC0"/>
    <w:rsid w:val="002A671B"/>
    <w:rsid w:val="002A7A22"/>
    <w:rsid w:val="002B2217"/>
    <w:rsid w:val="002B3C2A"/>
    <w:rsid w:val="002B54D4"/>
    <w:rsid w:val="002B5C6C"/>
    <w:rsid w:val="002B6AC2"/>
    <w:rsid w:val="002B7102"/>
    <w:rsid w:val="002B7641"/>
    <w:rsid w:val="002B7CEF"/>
    <w:rsid w:val="002C0A4A"/>
    <w:rsid w:val="002C1A92"/>
    <w:rsid w:val="002C4D86"/>
    <w:rsid w:val="002D026D"/>
    <w:rsid w:val="002D04BD"/>
    <w:rsid w:val="002D23DD"/>
    <w:rsid w:val="002E34E2"/>
    <w:rsid w:val="002F1ACD"/>
    <w:rsid w:val="002F2510"/>
    <w:rsid w:val="00304F37"/>
    <w:rsid w:val="00305E86"/>
    <w:rsid w:val="00307D50"/>
    <w:rsid w:val="0031070C"/>
    <w:rsid w:val="0031245A"/>
    <w:rsid w:val="0031260E"/>
    <w:rsid w:val="00315A94"/>
    <w:rsid w:val="00315F84"/>
    <w:rsid w:val="003207B1"/>
    <w:rsid w:val="00322F82"/>
    <w:rsid w:val="00323657"/>
    <w:rsid w:val="00332D5B"/>
    <w:rsid w:val="0033384D"/>
    <w:rsid w:val="00333E10"/>
    <w:rsid w:val="00335A01"/>
    <w:rsid w:val="0034040B"/>
    <w:rsid w:val="003445BA"/>
    <w:rsid w:val="00347FB8"/>
    <w:rsid w:val="00353080"/>
    <w:rsid w:val="003554F7"/>
    <w:rsid w:val="00360BB4"/>
    <w:rsid w:val="00361373"/>
    <w:rsid w:val="0036331E"/>
    <w:rsid w:val="0036597C"/>
    <w:rsid w:val="003706F0"/>
    <w:rsid w:val="003721D2"/>
    <w:rsid w:val="00372A25"/>
    <w:rsid w:val="00373709"/>
    <w:rsid w:val="0038098F"/>
    <w:rsid w:val="00381547"/>
    <w:rsid w:val="00383CC9"/>
    <w:rsid w:val="00386470"/>
    <w:rsid w:val="003879ED"/>
    <w:rsid w:val="00391563"/>
    <w:rsid w:val="003919DD"/>
    <w:rsid w:val="00391C49"/>
    <w:rsid w:val="00392AB9"/>
    <w:rsid w:val="00393D5C"/>
    <w:rsid w:val="003948F7"/>
    <w:rsid w:val="00395A77"/>
    <w:rsid w:val="00397091"/>
    <w:rsid w:val="003A008D"/>
    <w:rsid w:val="003A28B2"/>
    <w:rsid w:val="003A36EB"/>
    <w:rsid w:val="003B0E13"/>
    <w:rsid w:val="003B2BD9"/>
    <w:rsid w:val="003B53DF"/>
    <w:rsid w:val="003B568D"/>
    <w:rsid w:val="003C41AF"/>
    <w:rsid w:val="003C4B61"/>
    <w:rsid w:val="003D223B"/>
    <w:rsid w:val="003D2C2D"/>
    <w:rsid w:val="003D58AF"/>
    <w:rsid w:val="003D7961"/>
    <w:rsid w:val="003E2D1E"/>
    <w:rsid w:val="003F46CB"/>
    <w:rsid w:val="003F4FBE"/>
    <w:rsid w:val="003F7698"/>
    <w:rsid w:val="00407B5C"/>
    <w:rsid w:val="0041210A"/>
    <w:rsid w:val="0041420D"/>
    <w:rsid w:val="00414A1A"/>
    <w:rsid w:val="00415191"/>
    <w:rsid w:val="00416EA7"/>
    <w:rsid w:val="0042133D"/>
    <w:rsid w:val="00424603"/>
    <w:rsid w:val="00425E41"/>
    <w:rsid w:val="00434DE9"/>
    <w:rsid w:val="004356AC"/>
    <w:rsid w:val="00436239"/>
    <w:rsid w:val="00440A41"/>
    <w:rsid w:val="0044349F"/>
    <w:rsid w:val="00445C7B"/>
    <w:rsid w:val="00452C10"/>
    <w:rsid w:val="0046197D"/>
    <w:rsid w:val="00464AA2"/>
    <w:rsid w:val="00467001"/>
    <w:rsid w:val="004703D7"/>
    <w:rsid w:val="00472EFA"/>
    <w:rsid w:val="0047415C"/>
    <w:rsid w:val="00481A09"/>
    <w:rsid w:val="00481F19"/>
    <w:rsid w:val="004870F2"/>
    <w:rsid w:val="0048786F"/>
    <w:rsid w:val="004915E4"/>
    <w:rsid w:val="004932DE"/>
    <w:rsid w:val="0049379F"/>
    <w:rsid w:val="00496F91"/>
    <w:rsid w:val="004A0B28"/>
    <w:rsid w:val="004A0E4D"/>
    <w:rsid w:val="004A1AB7"/>
    <w:rsid w:val="004A5679"/>
    <w:rsid w:val="004A5BFD"/>
    <w:rsid w:val="004A7804"/>
    <w:rsid w:val="004B5D48"/>
    <w:rsid w:val="004C1981"/>
    <w:rsid w:val="004C5427"/>
    <w:rsid w:val="004C6784"/>
    <w:rsid w:val="004C7173"/>
    <w:rsid w:val="004D2111"/>
    <w:rsid w:val="004D65DB"/>
    <w:rsid w:val="004E039C"/>
    <w:rsid w:val="004E1FBA"/>
    <w:rsid w:val="004E3298"/>
    <w:rsid w:val="004F4FAC"/>
    <w:rsid w:val="00501387"/>
    <w:rsid w:val="00503BEF"/>
    <w:rsid w:val="0050676B"/>
    <w:rsid w:val="005209D1"/>
    <w:rsid w:val="005237EE"/>
    <w:rsid w:val="00523C4D"/>
    <w:rsid w:val="00525061"/>
    <w:rsid w:val="005266DC"/>
    <w:rsid w:val="00534129"/>
    <w:rsid w:val="00542CDD"/>
    <w:rsid w:val="00544B4A"/>
    <w:rsid w:val="005477C8"/>
    <w:rsid w:val="00561080"/>
    <w:rsid w:val="00562F7B"/>
    <w:rsid w:val="00563290"/>
    <w:rsid w:val="005654B2"/>
    <w:rsid w:val="005705CD"/>
    <w:rsid w:val="005710C5"/>
    <w:rsid w:val="00575068"/>
    <w:rsid w:val="00575DE8"/>
    <w:rsid w:val="005766F4"/>
    <w:rsid w:val="00577DC3"/>
    <w:rsid w:val="00583529"/>
    <w:rsid w:val="00584D07"/>
    <w:rsid w:val="00585BC6"/>
    <w:rsid w:val="00585D3B"/>
    <w:rsid w:val="00591169"/>
    <w:rsid w:val="00591CA2"/>
    <w:rsid w:val="00592650"/>
    <w:rsid w:val="00594512"/>
    <w:rsid w:val="00595A0D"/>
    <w:rsid w:val="00597762"/>
    <w:rsid w:val="005A19F8"/>
    <w:rsid w:val="005A2D57"/>
    <w:rsid w:val="005A2F11"/>
    <w:rsid w:val="005A6C90"/>
    <w:rsid w:val="005B088C"/>
    <w:rsid w:val="005B1BF0"/>
    <w:rsid w:val="005B44FF"/>
    <w:rsid w:val="005B77D9"/>
    <w:rsid w:val="005C2B90"/>
    <w:rsid w:val="005C3D66"/>
    <w:rsid w:val="005D07B8"/>
    <w:rsid w:val="005D5DCD"/>
    <w:rsid w:val="005D6E21"/>
    <w:rsid w:val="005E074E"/>
    <w:rsid w:val="005E122B"/>
    <w:rsid w:val="005E21F5"/>
    <w:rsid w:val="005F0DC1"/>
    <w:rsid w:val="005F0FBE"/>
    <w:rsid w:val="005F7088"/>
    <w:rsid w:val="006023A2"/>
    <w:rsid w:val="00602C14"/>
    <w:rsid w:val="006062A5"/>
    <w:rsid w:val="00614685"/>
    <w:rsid w:val="006220A8"/>
    <w:rsid w:val="00626F25"/>
    <w:rsid w:val="00627CEB"/>
    <w:rsid w:val="00630E1E"/>
    <w:rsid w:val="00630F4E"/>
    <w:rsid w:val="00632052"/>
    <w:rsid w:val="006330AA"/>
    <w:rsid w:val="00634F35"/>
    <w:rsid w:val="006368DD"/>
    <w:rsid w:val="00640FC9"/>
    <w:rsid w:val="00645815"/>
    <w:rsid w:val="00654550"/>
    <w:rsid w:val="006619D1"/>
    <w:rsid w:val="00664198"/>
    <w:rsid w:val="00667CEC"/>
    <w:rsid w:val="00667E98"/>
    <w:rsid w:val="006709E9"/>
    <w:rsid w:val="0067127C"/>
    <w:rsid w:val="006734CA"/>
    <w:rsid w:val="0067359A"/>
    <w:rsid w:val="00675BAE"/>
    <w:rsid w:val="0068145E"/>
    <w:rsid w:val="006850B7"/>
    <w:rsid w:val="0069065A"/>
    <w:rsid w:val="00692486"/>
    <w:rsid w:val="0069483D"/>
    <w:rsid w:val="006A3E2E"/>
    <w:rsid w:val="006B40D4"/>
    <w:rsid w:val="006B7A64"/>
    <w:rsid w:val="006C334D"/>
    <w:rsid w:val="006C3ED3"/>
    <w:rsid w:val="006E6DC7"/>
    <w:rsid w:val="006F7F45"/>
    <w:rsid w:val="0070577A"/>
    <w:rsid w:val="00706B45"/>
    <w:rsid w:val="00706F5E"/>
    <w:rsid w:val="00710703"/>
    <w:rsid w:val="007243FD"/>
    <w:rsid w:val="007347DD"/>
    <w:rsid w:val="0073508B"/>
    <w:rsid w:val="00742C5F"/>
    <w:rsid w:val="00744A07"/>
    <w:rsid w:val="007474F5"/>
    <w:rsid w:val="007568D4"/>
    <w:rsid w:val="00763A2C"/>
    <w:rsid w:val="007647B9"/>
    <w:rsid w:val="00765489"/>
    <w:rsid w:val="00766939"/>
    <w:rsid w:val="007670F9"/>
    <w:rsid w:val="00770201"/>
    <w:rsid w:val="00770FA2"/>
    <w:rsid w:val="00772B9C"/>
    <w:rsid w:val="00776EDD"/>
    <w:rsid w:val="00784272"/>
    <w:rsid w:val="007850E7"/>
    <w:rsid w:val="00785720"/>
    <w:rsid w:val="00786090"/>
    <w:rsid w:val="00786B6E"/>
    <w:rsid w:val="00787A8D"/>
    <w:rsid w:val="00787FD5"/>
    <w:rsid w:val="007A60A6"/>
    <w:rsid w:val="007A7539"/>
    <w:rsid w:val="007C0EC3"/>
    <w:rsid w:val="007C1426"/>
    <w:rsid w:val="007C6927"/>
    <w:rsid w:val="007D3AD0"/>
    <w:rsid w:val="007D73D6"/>
    <w:rsid w:val="007E32A1"/>
    <w:rsid w:val="007E32F8"/>
    <w:rsid w:val="007E5806"/>
    <w:rsid w:val="007E5F8E"/>
    <w:rsid w:val="007E7434"/>
    <w:rsid w:val="007F02E7"/>
    <w:rsid w:val="007F22F1"/>
    <w:rsid w:val="007F2A2C"/>
    <w:rsid w:val="007F6ACB"/>
    <w:rsid w:val="00800ECB"/>
    <w:rsid w:val="00805228"/>
    <w:rsid w:val="00805B12"/>
    <w:rsid w:val="0081106C"/>
    <w:rsid w:val="008135D3"/>
    <w:rsid w:val="00814703"/>
    <w:rsid w:val="00815F08"/>
    <w:rsid w:val="00820526"/>
    <w:rsid w:val="00821FDB"/>
    <w:rsid w:val="00824295"/>
    <w:rsid w:val="00831AF7"/>
    <w:rsid w:val="0083523A"/>
    <w:rsid w:val="00836D63"/>
    <w:rsid w:val="008370C6"/>
    <w:rsid w:val="008379F4"/>
    <w:rsid w:val="00841D70"/>
    <w:rsid w:val="00854E28"/>
    <w:rsid w:val="008559C6"/>
    <w:rsid w:val="00856716"/>
    <w:rsid w:val="00857DC3"/>
    <w:rsid w:val="0087016E"/>
    <w:rsid w:val="00870C00"/>
    <w:rsid w:val="0087374A"/>
    <w:rsid w:val="0088287B"/>
    <w:rsid w:val="00887A7C"/>
    <w:rsid w:val="00891333"/>
    <w:rsid w:val="00892271"/>
    <w:rsid w:val="008969BE"/>
    <w:rsid w:val="00896D91"/>
    <w:rsid w:val="008974C6"/>
    <w:rsid w:val="008A3B61"/>
    <w:rsid w:val="008A43CE"/>
    <w:rsid w:val="008A4A18"/>
    <w:rsid w:val="008B0DBD"/>
    <w:rsid w:val="008B2406"/>
    <w:rsid w:val="008D115C"/>
    <w:rsid w:val="008D1F56"/>
    <w:rsid w:val="008D34A1"/>
    <w:rsid w:val="008D5C38"/>
    <w:rsid w:val="008E0A63"/>
    <w:rsid w:val="008E526F"/>
    <w:rsid w:val="008E5D34"/>
    <w:rsid w:val="008E799B"/>
    <w:rsid w:val="008F19F7"/>
    <w:rsid w:val="008F3E67"/>
    <w:rsid w:val="008F4290"/>
    <w:rsid w:val="008F6A65"/>
    <w:rsid w:val="00903BD9"/>
    <w:rsid w:val="009106DD"/>
    <w:rsid w:val="00910703"/>
    <w:rsid w:val="009111FC"/>
    <w:rsid w:val="009119B3"/>
    <w:rsid w:val="009129A3"/>
    <w:rsid w:val="009135E6"/>
    <w:rsid w:val="009177FE"/>
    <w:rsid w:val="00921EBA"/>
    <w:rsid w:val="0092350A"/>
    <w:rsid w:val="00923926"/>
    <w:rsid w:val="00924B7A"/>
    <w:rsid w:val="00924C58"/>
    <w:rsid w:val="009310DB"/>
    <w:rsid w:val="00932CE0"/>
    <w:rsid w:val="00943541"/>
    <w:rsid w:val="00947CB9"/>
    <w:rsid w:val="009602A4"/>
    <w:rsid w:val="00965447"/>
    <w:rsid w:val="00967110"/>
    <w:rsid w:val="00971885"/>
    <w:rsid w:val="00972D95"/>
    <w:rsid w:val="00983BDD"/>
    <w:rsid w:val="00984F96"/>
    <w:rsid w:val="00986780"/>
    <w:rsid w:val="0098771F"/>
    <w:rsid w:val="0099588B"/>
    <w:rsid w:val="009A191F"/>
    <w:rsid w:val="009A327F"/>
    <w:rsid w:val="009B5B0B"/>
    <w:rsid w:val="009C0D76"/>
    <w:rsid w:val="009C3E72"/>
    <w:rsid w:val="009D061A"/>
    <w:rsid w:val="009D20C7"/>
    <w:rsid w:val="009D7A26"/>
    <w:rsid w:val="009E0C01"/>
    <w:rsid w:val="009E2B3D"/>
    <w:rsid w:val="009F00EE"/>
    <w:rsid w:val="009F6189"/>
    <w:rsid w:val="00A02579"/>
    <w:rsid w:val="00A034A2"/>
    <w:rsid w:val="00A04A0F"/>
    <w:rsid w:val="00A05388"/>
    <w:rsid w:val="00A1728E"/>
    <w:rsid w:val="00A23F2B"/>
    <w:rsid w:val="00A275E7"/>
    <w:rsid w:val="00A350B3"/>
    <w:rsid w:val="00A438CC"/>
    <w:rsid w:val="00A455FE"/>
    <w:rsid w:val="00A60A28"/>
    <w:rsid w:val="00A614C0"/>
    <w:rsid w:val="00A72D0C"/>
    <w:rsid w:val="00A740EE"/>
    <w:rsid w:val="00A844D6"/>
    <w:rsid w:val="00A94292"/>
    <w:rsid w:val="00A9582F"/>
    <w:rsid w:val="00AA113E"/>
    <w:rsid w:val="00AA686D"/>
    <w:rsid w:val="00AB0B58"/>
    <w:rsid w:val="00AB5BA1"/>
    <w:rsid w:val="00AC2858"/>
    <w:rsid w:val="00AD1F6E"/>
    <w:rsid w:val="00AD3098"/>
    <w:rsid w:val="00AD3F16"/>
    <w:rsid w:val="00AE01C8"/>
    <w:rsid w:val="00AE2ACE"/>
    <w:rsid w:val="00AF092D"/>
    <w:rsid w:val="00AF3472"/>
    <w:rsid w:val="00AF62FC"/>
    <w:rsid w:val="00AF7258"/>
    <w:rsid w:val="00B012BC"/>
    <w:rsid w:val="00B01A10"/>
    <w:rsid w:val="00B023A6"/>
    <w:rsid w:val="00B02405"/>
    <w:rsid w:val="00B0297A"/>
    <w:rsid w:val="00B078A6"/>
    <w:rsid w:val="00B10A09"/>
    <w:rsid w:val="00B12C3E"/>
    <w:rsid w:val="00B15B30"/>
    <w:rsid w:val="00B16359"/>
    <w:rsid w:val="00B25BDC"/>
    <w:rsid w:val="00B2760F"/>
    <w:rsid w:val="00B27B5D"/>
    <w:rsid w:val="00B32977"/>
    <w:rsid w:val="00B3725E"/>
    <w:rsid w:val="00B53C05"/>
    <w:rsid w:val="00B547E1"/>
    <w:rsid w:val="00B57199"/>
    <w:rsid w:val="00B61E4D"/>
    <w:rsid w:val="00B661C4"/>
    <w:rsid w:val="00B666DD"/>
    <w:rsid w:val="00B673FA"/>
    <w:rsid w:val="00B77383"/>
    <w:rsid w:val="00B77B64"/>
    <w:rsid w:val="00B84DC4"/>
    <w:rsid w:val="00B85957"/>
    <w:rsid w:val="00B87223"/>
    <w:rsid w:val="00B87601"/>
    <w:rsid w:val="00B930C9"/>
    <w:rsid w:val="00B930FB"/>
    <w:rsid w:val="00B94DA7"/>
    <w:rsid w:val="00B95C5F"/>
    <w:rsid w:val="00B96683"/>
    <w:rsid w:val="00BA4319"/>
    <w:rsid w:val="00BB335E"/>
    <w:rsid w:val="00BC366D"/>
    <w:rsid w:val="00BC40BD"/>
    <w:rsid w:val="00BC4738"/>
    <w:rsid w:val="00BC4BCD"/>
    <w:rsid w:val="00BC647D"/>
    <w:rsid w:val="00BD10C5"/>
    <w:rsid w:val="00BD6471"/>
    <w:rsid w:val="00BE046D"/>
    <w:rsid w:val="00BE20FE"/>
    <w:rsid w:val="00BE25BC"/>
    <w:rsid w:val="00BE45AF"/>
    <w:rsid w:val="00BE5BD6"/>
    <w:rsid w:val="00BE5C00"/>
    <w:rsid w:val="00BF25F0"/>
    <w:rsid w:val="00BF6DE7"/>
    <w:rsid w:val="00C020FE"/>
    <w:rsid w:val="00C11808"/>
    <w:rsid w:val="00C137EC"/>
    <w:rsid w:val="00C224FD"/>
    <w:rsid w:val="00C23FB6"/>
    <w:rsid w:val="00C24565"/>
    <w:rsid w:val="00C25DD8"/>
    <w:rsid w:val="00C2619D"/>
    <w:rsid w:val="00C27013"/>
    <w:rsid w:val="00C27251"/>
    <w:rsid w:val="00C27884"/>
    <w:rsid w:val="00C30E4C"/>
    <w:rsid w:val="00C37910"/>
    <w:rsid w:val="00C40419"/>
    <w:rsid w:val="00C40EEA"/>
    <w:rsid w:val="00C448EB"/>
    <w:rsid w:val="00C452DA"/>
    <w:rsid w:val="00C454D0"/>
    <w:rsid w:val="00C45C5B"/>
    <w:rsid w:val="00C55383"/>
    <w:rsid w:val="00C5644A"/>
    <w:rsid w:val="00C57B02"/>
    <w:rsid w:val="00C64DCB"/>
    <w:rsid w:val="00C64DE2"/>
    <w:rsid w:val="00C65BB0"/>
    <w:rsid w:val="00C65C2E"/>
    <w:rsid w:val="00C66FCC"/>
    <w:rsid w:val="00C71251"/>
    <w:rsid w:val="00C71690"/>
    <w:rsid w:val="00C71BF2"/>
    <w:rsid w:val="00C72A61"/>
    <w:rsid w:val="00C749E9"/>
    <w:rsid w:val="00C75389"/>
    <w:rsid w:val="00C81987"/>
    <w:rsid w:val="00C82691"/>
    <w:rsid w:val="00C85766"/>
    <w:rsid w:val="00C935AA"/>
    <w:rsid w:val="00C94757"/>
    <w:rsid w:val="00CA2895"/>
    <w:rsid w:val="00CA312D"/>
    <w:rsid w:val="00CA3A89"/>
    <w:rsid w:val="00CB16AF"/>
    <w:rsid w:val="00CB7703"/>
    <w:rsid w:val="00CC251B"/>
    <w:rsid w:val="00CC42B5"/>
    <w:rsid w:val="00CC799A"/>
    <w:rsid w:val="00CC7F5D"/>
    <w:rsid w:val="00CD23A0"/>
    <w:rsid w:val="00CD2D77"/>
    <w:rsid w:val="00CD3E91"/>
    <w:rsid w:val="00CD5C0D"/>
    <w:rsid w:val="00CD7022"/>
    <w:rsid w:val="00CE0116"/>
    <w:rsid w:val="00CE7495"/>
    <w:rsid w:val="00CF352F"/>
    <w:rsid w:val="00D00B48"/>
    <w:rsid w:val="00D02936"/>
    <w:rsid w:val="00D03E42"/>
    <w:rsid w:val="00D04D2A"/>
    <w:rsid w:val="00D05624"/>
    <w:rsid w:val="00D11900"/>
    <w:rsid w:val="00D1276A"/>
    <w:rsid w:val="00D146FF"/>
    <w:rsid w:val="00D2285B"/>
    <w:rsid w:val="00D32848"/>
    <w:rsid w:val="00D33BDF"/>
    <w:rsid w:val="00D35C01"/>
    <w:rsid w:val="00D35DB4"/>
    <w:rsid w:val="00D409B8"/>
    <w:rsid w:val="00D412CF"/>
    <w:rsid w:val="00D455D7"/>
    <w:rsid w:val="00D476F6"/>
    <w:rsid w:val="00D50488"/>
    <w:rsid w:val="00D52375"/>
    <w:rsid w:val="00D52739"/>
    <w:rsid w:val="00D6139A"/>
    <w:rsid w:val="00D634EF"/>
    <w:rsid w:val="00D63BA2"/>
    <w:rsid w:val="00D66275"/>
    <w:rsid w:val="00D77BD3"/>
    <w:rsid w:val="00D807C6"/>
    <w:rsid w:val="00D826E7"/>
    <w:rsid w:val="00D82D2D"/>
    <w:rsid w:val="00D8388F"/>
    <w:rsid w:val="00D83908"/>
    <w:rsid w:val="00D83F51"/>
    <w:rsid w:val="00D95618"/>
    <w:rsid w:val="00DA00EE"/>
    <w:rsid w:val="00DA0744"/>
    <w:rsid w:val="00DA0875"/>
    <w:rsid w:val="00DB061B"/>
    <w:rsid w:val="00DB1380"/>
    <w:rsid w:val="00DB2438"/>
    <w:rsid w:val="00DB33AE"/>
    <w:rsid w:val="00DC6005"/>
    <w:rsid w:val="00DC6AED"/>
    <w:rsid w:val="00DC6C4D"/>
    <w:rsid w:val="00DD1141"/>
    <w:rsid w:val="00DE0307"/>
    <w:rsid w:val="00DE4407"/>
    <w:rsid w:val="00DE46F3"/>
    <w:rsid w:val="00DE543B"/>
    <w:rsid w:val="00DF0D55"/>
    <w:rsid w:val="00DF0D70"/>
    <w:rsid w:val="00DF24EB"/>
    <w:rsid w:val="00DF76F4"/>
    <w:rsid w:val="00E00C74"/>
    <w:rsid w:val="00E01B04"/>
    <w:rsid w:val="00E02102"/>
    <w:rsid w:val="00E04A18"/>
    <w:rsid w:val="00E110D3"/>
    <w:rsid w:val="00E111A6"/>
    <w:rsid w:val="00E13DDC"/>
    <w:rsid w:val="00E21CF6"/>
    <w:rsid w:val="00E22DF3"/>
    <w:rsid w:val="00E26576"/>
    <w:rsid w:val="00E26618"/>
    <w:rsid w:val="00E273E9"/>
    <w:rsid w:val="00E27B70"/>
    <w:rsid w:val="00E30C65"/>
    <w:rsid w:val="00E42D0B"/>
    <w:rsid w:val="00E47798"/>
    <w:rsid w:val="00E51547"/>
    <w:rsid w:val="00E5528A"/>
    <w:rsid w:val="00E61E9A"/>
    <w:rsid w:val="00E65FEE"/>
    <w:rsid w:val="00E67A75"/>
    <w:rsid w:val="00E75170"/>
    <w:rsid w:val="00E7721B"/>
    <w:rsid w:val="00E82E16"/>
    <w:rsid w:val="00E86590"/>
    <w:rsid w:val="00E86A98"/>
    <w:rsid w:val="00E95B92"/>
    <w:rsid w:val="00EA01C5"/>
    <w:rsid w:val="00EA19ED"/>
    <w:rsid w:val="00EA20CE"/>
    <w:rsid w:val="00EA36A4"/>
    <w:rsid w:val="00EC0856"/>
    <w:rsid w:val="00EC601C"/>
    <w:rsid w:val="00ED1E70"/>
    <w:rsid w:val="00ED3770"/>
    <w:rsid w:val="00ED6E1B"/>
    <w:rsid w:val="00ED738C"/>
    <w:rsid w:val="00EE1714"/>
    <w:rsid w:val="00EE3164"/>
    <w:rsid w:val="00EF2DEB"/>
    <w:rsid w:val="00F03F85"/>
    <w:rsid w:val="00F03FEF"/>
    <w:rsid w:val="00F1018B"/>
    <w:rsid w:val="00F103E5"/>
    <w:rsid w:val="00F10BCE"/>
    <w:rsid w:val="00F11597"/>
    <w:rsid w:val="00F1167F"/>
    <w:rsid w:val="00F11C47"/>
    <w:rsid w:val="00F25412"/>
    <w:rsid w:val="00F32991"/>
    <w:rsid w:val="00F35D44"/>
    <w:rsid w:val="00F444AA"/>
    <w:rsid w:val="00F5029C"/>
    <w:rsid w:val="00F5535F"/>
    <w:rsid w:val="00F56AAC"/>
    <w:rsid w:val="00F57164"/>
    <w:rsid w:val="00F633F2"/>
    <w:rsid w:val="00F66C87"/>
    <w:rsid w:val="00F72825"/>
    <w:rsid w:val="00F72F6C"/>
    <w:rsid w:val="00F919E0"/>
    <w:rsid w:val="00F9238F"/>
    <w:rsid w:val="00FA4851"/>
    <w:rsid w:val="00FA64E1"/>
    <w:rsid w:val="00FB1F65"/>
    <w:rsid w:val="00FB5C17"/>
    <w:rsid w:val="00FB649D"/>
    <w:rsid w:val="00FC2729"/>
    <w:rsid w:val="00FD2EE8"/>
    <w:rsid w:val="00FD402A"/>
    <w:rsid w:val="00FD6CCE"/>
    <w:rsid w:val="00FE0822"/>
    <w:rsid w:val="00FE3B97"/>
    <w:rsid w:val="00FF0D20"/>
    <w:rsid w:val="00FF3025"/>
    <w:rsid w:val="00FF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35D3"/>
    <w:pPr>
      <w:jc w:val="center"/>
    </w:pPr>
    <w:rPr>
      <w:b/>
      <w:sz w:val="28"/>
    </w:rPr>
  </w:style>
  <w:style w:type="paragraph" w:styleId="BodyTextIndent">
    <w:name w:val="Body Text Indent"/>
    <w:basedOn w:val="Normal"/>
    <w:rsid w:val="008135D3"/>
    <w:pPr>
      <w:ind w:left="360"/>
    </w:pPr>
    <w:rPr>
      <w:sz w:val="28"/>
    </w:rPr>
  </w:style>
  <w:style w:type="paragraph" w:styleId="Header">
    <w:name w:val="header"/>
    <w:basedOn w:val="Normal"/>
    <w:rsid w:val="008135D3"/>
    <w:pPr>
      <w:tabs>
        <w:tab w:val="center" w:pos="4320"/>
        <w:tab w:val="right" w:pos="8640"/>
      </w:tabs>
    </w:pPr>
  </w:style>
  <w:style w:type="paragraph" w:styleId="Footer">
    <w:name w:val="footer"/>
    <w:basedOn w:val="Normal"/>
    <w:rsid w:val="008135D3"/>
    <w:pPr>
      <w:tabs>
        <w:tab w:val="center" w:pos="4320"/>
        <w:tab w:val="right" w:pos="8640"/>
      </w:tabs>
    </w:pPr>
  </w:style>
  <w:style w:type="character" w:styleId="Hyperlink">
    <w:name w:val="Hyperlink"/>
    <w:basedOn w:val="DefaultParagraphFont"/>
    <w:rsid w:val="0036331E"/>
    <w:rPr>
      <w:color w:val="0000FF"/>
      <w:u w:val="single"/>
    </w:rPr>
  </w:style>
  <w:style w:type="paragraph" w:styleId="BalloonText">
    <w:name w:val="Balloon Text"/>
    <w:basedOn w:val="Normal"/>
    <w:semiHidden/>
    <w:rsid w:val="008D5C38"/>
    <w:rPr>
      <w:rFonts w:ascii="Tahoma" w:hAnsi="Tahoma" w:cs="Tahoma"/>
      <w:sz w:val="16"/>
      <w:szCs w:val="16"/>
    </w:rPr>
  </w:style>
  <w:style w:type="character" w:styleId="FollowedHyperlink">
    <w:name w:val="FollowedHyperlink"/>
    <w:basedOn w:val="DefaultParagraphFont"/>
    <w:rsid w:val="007D3AD0"/>
    <w:rPr>
      <w:color w:val="800080"/>
      <w:u w:val="single"/>
    </w:rPr>
  </w:style>
  <w:style w:type="paragraph" w:styleId="FootnoteText">
    <w:name w:val="footnote text"/>
    <w:basedOn w:val="Normal"/>
    <w:link w:val="FootnoteTextChar"/>
    <w:rsid w:val="00B87601"/>
    <w:rPr>
      <w:sz w:val="20"/>
    </w:rPr>
  </w:style>
  <w:style w:type="character" w:customStyle="1" w:styleId="FootnoteTextChar">
    <w:name w:val="Footnote Text Char"/>
    <w:basedOn w:val="DefaultParagraphFont"/>
    <w:link w:val="FootnoteText"/>
    <w:rsid w:val="00B87601"/>
  </w:style>
  <w:style w:type="character" w:styleId="FootnoteReference">
    <w:name w:val="footnote reference"/>
    <w:basedOn w:val="DefaultParagraphFont"/>
    <w:rsid w:val="00B87601"/>
    <w:rPr>
      <w:vertAlign w:val="superscript"/>
    </w:rPr>
  </w:style>
  <w:style w:type="paragraph" w:styleId="ListParagraph">
    <w:name w:val="List Paragraph"/>
    <w:basedOn w:val="Normal"/>
    <w:uiPriority w:val="34"/>
    <w:qFormat/>
    <w:rsid w:val="00B16359"/>
    <w:pPr>
      <w:ind w:left="720"/>
      <w:contextualSpacing/>
    </w:pPr>
  </w:style>
  <w:style w:type="character" w:styleId="EndnoteReference">
    <w:name w:val="endnote reference"/>
    <w:basedOn w:val="DefaultParagraphFont"/>
    <w:rsid w:val="002A671B"/>
    <w:rPr>
      <w:vertAlign w:val="superscript"/>
    </w:rPr>
  </w:style>
  <w:style w:type="paragraph" w:styleId="EndnoteText">
    <w:name w:val="endnote text"/>
    <w:basedOn w:val="Normal"/>
    <w:link w:val="EndnoteTextChar"/>
    <w:rsid w:val="008E5D34"/>
    <w:rPr>
      <w:sz w:val="20"/>
    </w:rPr>
  </w:style>
  <w:style w:type="character" w:customStyle="1" w:styleId="EndnoteTextChar">
    <w:name w:val="Endnote Text Char"/>
    <w:basedOn w:val="DefaultParagraphFont"/>
    <w:link w:val="EndnoteText"/>
    <w:rsid w:val="008E5D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C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135D3"/>
    <w:pPr>
      <w:jc w:val="center"/>
    </w:pPr>
    <w:rPr>
      <w:b/>
      <w:sz w:val="28"/>
    </w:rPr>
  </w:style>
  <w:style w:type="paragraph" w:styleId="BodyTextIndent">
    <w:name w:val="Body Text Indent"/>
    <w:basedOn w:val="Normal"/>
    <w:rsid w:val="008135D3"/>
    <w:pPr>
      <w:ind w:left="360"/>
    </w:pPr>
    <w:rPr>
      <w:sz w:val="28"/>
    </w:rPr>
  </w:style>
  <w:style w:type="paragraph" w:styleId="Header">
    <w:name w:val="header"/>
    <w:basedOn w:val="Normal"/>
    <w:rsid w:val="008135D3"/>
    <w:pPr>
      <w:tabs>
        <w:tab w:val="center" w:pos="4320"/>
        <w:tab w:val="right" w:pos="8640"/>
      </w:tabs>
    </w:pPr>
  </w:style>
  <w:style w:type="paragraph" w:styleId="Footer">
    <w:name w:val="footer"/>
    <w:basedOn w:val="Normal"/>
    <w:rsid w:val="008135D3"/>
    <w:pPr>
      <w:tabs>
        <w:tab w:val="center" w:pos="4320"/>
        <w:tab w:val="right" w:pos="8640"/>
      </w:tabs>
    </w:pPr>
  </w:style>
  <w:style w:type="character" w:styleId="Hyperlink">
    <w:name w:val="Hyperlink"/>
    <w:basedOn w:val="DefaultParagraphFont"/>
    <w:rsid w:val="0036331E"/>
    <w:rPr>
      <w:color w:val="0000FF"/>
      <w:u w:val="single"/>
    </w:rPr>
  </w:style>
  <w:style w:type="paragraph" w:styleId="BalloonText">
    <w:name w:val="Balloon Text"/>
    <w:basedOn w:val="Normal"/>
    <w:semiHidden/>
    <w:rsid w:val="008D5C38"/>
    <w:rPr>
      <w:rFonts w:ascii="Tahoma" w:hAnsi="Tahoma" w:cs="Tahoma"/>
      <w:sz w:val="16"/>
      <w:szCs w:val="16"/>
    </w:rPr>
  </w:style>
  <w:style w:type="character" w:styleId="FollowedHyperlink">
    <w:name w:val="FollowedHyperlink"/>
    <w:basedOn w:val="DefaultParagraphFont"/>
    <w:rsid w:val="007D3AD0"/>
    <w:rPr>
      <w:color w:val="800080"/>
      <w:u w:val="single"/>
    </w:rPr>
  </w:style>
  <w:style w:type="paragraph" w:styleId="FootnoteText">
    <w:name w:val="footnote text"/>
    <w:basedOn w:val="Normal"/>
    <w:link w:val="FootnoteTextChar"/>
    <w:rsid w:val="00B87601"/>
    <w:rPr>
      <w:sz w:val="20"/>
    </w:rPr>
  </w:style>
  <w:style w:type="character" w:customStyle="1" w:styleId="FootnoteTextChar">
    <w:name w:val="Footnote Text Char"/>
    <w:basedOn w:val="DefaultParagraphFont"/>
    <w:link w:val="FootnoteText"/>
    <w:rsid w:val="00B87601"/>
  </w:style>
  <w:style w:type="character" w:styleId="FootnoteReference">
    <w:name w:val="footnote reference"/>
    <w:basedOn w:val="DefaultParagraphFont"/>
    <w:rsid w:val="00B87601"/>
    <w:rPr>
      <w:vertAlign w:val="superscript"/>
    </w:rPr>
  </w:style>
  <w:style w:type="paragraph" w:styleId="ListParagraph">
    <w:name w:val="List Paragraph"/>
    <w:basedOn w:val="Normal"/>
    <w:uiPriority w:val="34"/>
    <w:qFormat/>
    <w:rsid w:val="00B16359"/>
    <w:pPr>
      <w:ind w:left="720"/>
      <w:contextualSpacing/>
    </w:pPr>
  </w:style>
  <w:style w:type="character" w:styleId="EndnoteReference">
    <w:name w:val="endnote reference"/>
    <w:basedOn w:val="DefaultParagraphFont"/>
    <w:rsid w:val="002A671B"/>
    <w:rPr>
      <w:vertAlign w:val="superscript"/>
    </w:rPr>
  </w:style>
  <w:style w:type="paragraph" w:styleId="EndnoteText">
    <w:name w:val="endnote text"/>
    <w:basedOn w:val="Normal"/>
    <w:link w:val="EndnoteTextChar"/>
    <w:rsid w:val="008E5D34"/>
    <w:rPr>
      <w:sz w:val="20"/>
    </w:rPr>
  </w:style>
  <w:style w:type="character" w:customStyle="1" w:styleId="EndnoteTextChar">
    <w:name w:val="Endnote Text Char"/>
    <w:basedOn w:val="DefaultParagraphFont"/>
    <w:link w:val="EndnoteText"/>
    <w:rsid w:val="008E5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3978">
      <w:bodyDiv w:val="1"/>
      <w:marLeft w:val="0"/>
      <w:marRight w:val="0"/>
      <w:marTop w:val="0"/>
      <w:marBottom w:val="0"/>
      <w:divBdr>
        <w:top w:val="none" w:sz="0" w:space="0" w:color="auto"/>
        <w:left w:val="none" w:sz="0" w:space="0" w:color="auto"/>
        <w:bottom w:val="none" w:sz="0" w:space="0" w:color="auto"/>
        <w:right w:val="none" w:sz="0" w:space="0" w:color="auto"/>
      </w:divBdr>
    </w:div>
    <w:div w:id="882447369">
      <w:bodyDiv w:val="1"/>
      <w:marLeft w:val="0"/>
      <w:marRight w:val="0"/>
      <w:marTop w:val="0"/>
      <w:marBottom w:val="0"/>
      <w:divBdr>
        <w:top w:val="none" w:sz="0" w:space="0" w:color="auto"/>
        <w:left w:val="none" w:sz="0" w:space="0" w:color="auto"/>
        <w:bottom w:val="none" w:sz="0" w:space="0" w:color="auto"/>
        <w:right w:val="none" w:sz="0" w:space="0" w:color="auto"/>
      </w:divBdr>
    </w:div>
    <w:div w:id="1030834912">
      <w:bodyDiv w:val="1"/>
      <w:marLeft w:val="0"/>
      <w:marRight w:val="0"/>
      <w:marTop w:val="0"/>
      <w:marBottom w:val="0"/>
      <w:divBdr>
        <w:top w:val="none" w:sz="0" w:space="0" w:color="auto"/>
        <w:left w:val="none" w:sz="0" w:space="0" w:color="auto"/>
        <w:bottom w:val="none" w:sz="0" w:space="0" w:color="auto"/>
        <w:right w:val="none" w:sz="0" w:space="0" w:color="auto"/>
      </w:divBdr>
    </w:div>
    <w:div w:id="13045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shick@aa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2B4B9-8A59-4E2A-9082-F75F72F7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 VII and VIII Health Professions</vt:lpstr>
    </vt:vector>
  </TitlesOfParts>
  <Company>AAMC</Company>
  <LinksUpToDate>false</LinksUpToDate>
  <CharactersWithSpaces>3622</CharactersWithSpaces>
  <SharedDoc>false</SharedDoc>
  <HLinks>
    <vt:vector size="12" baseType="variant">
      <vt:variant>
        <vt:i4>4063239</vt:i4>
      </vt:variant>
      <vt:variant>
        <vt:i4>3</vt:i4>
      </vt:variant>
      <vt:variant>
        <vt:i4>0</vt:i4>
      </vt:variant>
      <vt:variant>
        <vt:i4>5</vt:i4>
      </vt:variant>
      <vt:variant>
        <vt:lpwstr>mailto:trasouli@aamc.org</vt:lpwstr>
      </vt:variant>
      <vt:variant>
        <vt:lpwstr/>
      </vt:variant>
      <vt:variant>
        <vt:i4>4063239</vt:i4>
      </vt:variant>
      <vt:variant>
        <vt:i4>0</vt:i4>
      </vt:variant>
      <vt:variant>
        <vt:i4>0</vt:i4>
      </vt:variant>
      <vt:variant>
        <vt:i4>5</vt:i4>
      </vt:variant>
      <vt:variant>
        <vt:lpwstr>mailto:trasouli@aamc.org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VII and VIII Health Professions</dc:title>
  <dc:creator>AAMC User</dc:creator>
  <cp:lastModifiedBy>Peter</cp:lastModifiedBy>
  <cp:revision>2</cp:revision>
  <cp:lastPrinted>2017-05-01T15:16:00Z</cp:lastPrinted>
  <dcterms:created xsi:type="dcterms:W3CDTF">2017-05-03T00:59:00Z</dcterms:created>
  <dcterms:modified xsi:type="dcterms:W3CDTF">2017-05-03T00:59:00Z</dcterms:modified>
</cp:coreProperties>
</file>